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256" w:rsidRDefault="00B87DB4">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r w:rsidR="00F13AF0">
        <w:rPr>
          <w:rFonts w:ascii="Arial" w:eastAsia="Arial" w:hAnsi="Arial"/>
          <w:b/>
          <w:sz w:val="36"/>
          <w:szCs w:val="36"/>
        </w:rPr>
        <w:t xml:space="preserve"> – not used</w:t>
      </w:r>
    </w:p>
    <w:p w:rsidR="007C0256" w:rsidRDefault="00B87DB4">
      <w:pPr>
        <w:rPr>
          <w:rFonts w:ascii="Arial" w:eastAsia="Arial" w:hAnsi="Arial"/>
          <w:b/>
          <w:sz w:val="24"/>
          <w:szCs w:val="24"/>
        </w:rPr>
      </w:pPr>
      <w:r w:rsidRPr="00F13AF0">
        <w:rPr>
          <w:rFonts w:ascii="Arial" w:eastAsia="Arial" w:hAnsi="Arial"/>
          <w:sz w:val="24"/>
          <w:szCs w:val="24"/>
        </w:rPr>
        <w:t>[</w:t>
      </w:r>
      <w:r w:rsidRPr="00F13AF0">
        <w:rPr>
          <w:rFonts w:ascii="Arial" w:eastAsia="Arial" w:hAnsi="Arial"/>
          <w:b/>
          <w:sz w:val="24"/>
          <w:szCs w:val="24"/>
        </w:rPr>
        <w:t>Guidance note: Buyers will need to take their own legal advice on this Schedule 2 and, in particular, on Part D (Pensions).</w:t>
      </w:r>
      <w:r>
        <w:rPr>
          <w:rFonts w:ascii="Arial" w:eastAsia="Arial" w:hAnsi="Arial"/>
          <w:b/>
          <w:sz w:val="24"/>
          <w:szCs w:val="24"/>
        </w:rPr>
        <w:t xml:space="preserve"> </w:t>
      </w:r>
    </w:p>
    <w:p w:rsidR="007C0256" w:rsidRDefault="00B87DB4">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7C0256" w:rsidRDefault="00B87DB4">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7C0256" w:rsidRDefault="00B87DB4">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7C0256" w:rsidRDefault="00B87DB4">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7C0256" w:rsidRDefault="00B87DB4">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7C0256" w:rsidRDefault="00B87DB4">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7C0256" w:rsidRDefault="00B87DB4">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7C0256" w:rsidRDefault="00B87DB4">
      <w:pPr>
        <w:rPr>
          <w:rFonts w:ascii="Arial" w:eastAsia="Arial" w:hAnsi="Arial"/>
          <w:sz w:val="24"/>
          <w:szCs w:val="24"/>
        </w:rPr>
      </w:pPr>
      <w:r>
        <w:rPr>
          <w:rFonts w:ascii="Arial" w:eastAsia="Arial" w:hAnsi="Arial"/>
          <w:sz w:val="24"/>
          <w:szCs w:val="24"/>
        </w:rPr>
        <w:t>Part E (dealing with staff transfer on exit) shall apply to every Contract.</w:t>
      </w:r>
    </w:p>
    <w:p w:rsidR="007C0256" w:rsidRDefault="00B87DB4">
      <w:pPr>
        <w:rPr>
          <w:rFonts w:ascii="Arial" w:eastAsia="Arial" w:hAnsi="Arial"/>
          <w:sz w:val="24"/>
          <w:szCs w:val="24"/>
        </w:rPr>
      </w:pPr>
      <w:r>
        <w:rPr>
          <w:rFonts w:ascii="Arial" w:eastAsia="Arial" w:hAnsi="Arial"/>
          <w:sz w:val="24"/>
          <w:szCs w:val="24"/>
        </w:rPr>
        <w:t>For fur</w:t>
      </w:r>
      <w:r>
        <w:rPr>
          <w:rFonts w:ascii="Arial" w:eastAsia="Arial" w:hAnsi="Arial"/>
          <w:sz w:val="24"/>
          <w:szCs w:val="24"/>
        </w:rPr>
        <w:t>ther guidance on this Schedule contact Government Legal Department’s Employment Law Group]</w:t>
      </w:r>
    </w:p>
    <w:p w:rsidR="007C0256" w:rsidRDefault="007C0256">
      <w:pPr>
        <w:keepNext/>
        <w:pBdr>
          <w:top w:val="nil"/>
          <w:left w:val="nil"/>
          <w:bottom w:val="nil"/>
          <w:right w:val="nil"/>
          <w:between w:val="nil"/>
        </w:pBdr>
        <w:rPr>
          <w:rFonts w:ascii="Arial" w:eastAsia="Arial" w:hAnsi="Arial"/>
          <w:b/>
          <w:smallCaps/>
          <w:color w:val="000000"/>
          <w:sz w:val="24"/>
          <w:szCs w:val="24"/>
        </w:rPr>
      </w:pPr>
    </w:p>
    <w:p w:rsidR="007C0256" w:rsidRDefault="00B87DB4">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7C0256" w:rsidRDefault="00B87DB4">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7C0256">
        <w:tc>
          <w:tcPr>
            <w:tcW w:w="2917" w:type="dxa"/>
          </w:tcPr>
          <w:p w:rsidR="007C0256" w:rsidRDefault="00B87DB4">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rsidR="007C0256" w:rsidRDefault="00B87DB4">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w:t>
            </w:r>
            <w:r>
              <w:rPr>
                <w:rFonts w:ascii="Arial" w:eastAsia="Arial" w:hAnsi="Arial"/>
                <w:sz w:val="24"/>
                <w:szCs w:val="24"/>
              </w:rPr>
              <w:t>gs or businesses, as amended or re-enacted from time to time;</w:t>
            </w:r>
          </w:p>
          <w:p w:rsidR="007C0256" w:rsidRDefault="007C0256">
            <w:pPr>
              <w:numPr>
                <w:ilvl w:val="0"/>
                <w:numId w:val="6"/>
              </w:numPr>
              <w:tabs>
                <w:tab w:val="left" w:pos="-179"/>
                <w:tab w:val="left" w:pos="-9"/>
              </w:tabs>
              <w:spacing w:after="120"/>
              <w:rPr>
                <w:rFonts w:ascii="Arial" w:eastAsia="Arial" w:hAnsi="Arial"/>
                <w:sz w:val="24"/>
                <w:szCs w:val="24"/>
              </w:rPr>
            </w:pPr>
          </w:p>
        </w:tc>
      </w:tr>
      <w:tr w:rsidR="007C0256">
        <w:tc>
          <w:tcPr>
            <w:tcW w:w="2917" w:type="dxa"/>
          </w:tcPr>
          <w:p w:rsidR="007C0256" w:rsidRDefault="00B87DB4">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rsidR="007C0256" w:rsidRDefault="00B87DB4">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made by way of settlement and costs, expenses and legal costs reasonably incurred in connection with a claim or investigation including in relation to the following:</w:t>
            </w:r>
          </w:p>
          <w:p w:rsidR="007C0256" w:rsidRDefault="00B87DB4">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redundancy</w:t>
            </w:r>
            <w:r>
              <w:rPr>
                <w:rFonts w:ascii="Arial" w:eastAsia="Arial" w:hAnsi="Arial"/>
                <w:sz w:val="24"/>
                <w:szCs w:val="24"/>
              </w:rPr>
              <w:t xml:space="preserve"> payments including contractual or enhanced redundancy costs, termination costs </w:t>
            </w:r>
            <w:r>
              <w:rPr>
                <w:rFonts w:ascii="Arial" w:eastAsia="Arial" w:hAnsi="Arial"/>
                <w:sz w:val="24"/>
                <w:szCs w:val="24"/>
              </w:rPr>
              <w:t xml:space="preserve">and notice payments; </w:t>
            </w:r>
          </w:p>
        </w:tc>
      </w:tr>
      <w:tr w:rsidR="007C0256">
        <w:tc>
          <w:tcPr>
            <w:tcW w:w="2917" w:type="dxa"/>
          </w:tcPr>
          <w:p w:rsidR="007C0256" w:rsidRDefault="007C0256">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7C0256" w:rsidRDefault="00B87DB4">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sz w:val="24"/>
                <w:szCs w:val="24"/>
              </w:rPr>
              <w:t>compensation</w:t>
            </w:r>
            <w:r>
              <w:rPr>
                <w:rFonts w:ascii="Arial" w:eastAsia="Arial" w:hAnsi="Arial"/>
                <w:sz w:val="24"/>
                <w:szCs w:val="24"/>
              </w:rPr>
              <w:t>;</w:t>
            </w:r>
          </w:p>
        </w:tc>
      </w:tr>
      <w:tr w:rsidR="007C0256">
        <w:tc>
          <w:tcPr>
            <w:tcW w:w="2917" w:type="dxa"/>
          </w:tcPr>
          <w:p w:rsidR="007C0256" w:rsidRDefault="007C0256">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7C0256" w:rsidRDefault="00B87DB4">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7C0256">
        <w:tc>
          <w:tcPr>
            <w:tcW w:w="2917" w:type="dxa"/>
          </w:tcPr>
          <w:p w:rsidR="007C0256" w:rsidRDefault="007C0256">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7C0256" w:rsidRDefault="00B87DB4">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7C0256">
        <w:tc>
          <w:tcPr>
            <w:tcW w:w="2917" w:type="dxa"/>
          </w:tcPr>
          <w:p w:rsidR="007C0256" w:rsidRDefault="007C0256">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7C0256" w:rsidRDefault="00B87DB4">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sz w:val="24"/>
                <w:szCs w:val="24"/>
              </w:rPr>
              <w:t>including</w:t>
            </w:r>
            <w:r>
              <w:rPr>
                <w:rFonts w:ascii="Arial" w:eastAsia="Arial" w:hAnsi="Arial"/>
                <w:sz w:val="24"/>
                <w:szCs w:val="24"/>
              </w:rPr>
              <w:t xml:space="preserve"> any PAYE and National Insurance Contributions;</w:t>
            </w:r>
          </w:p>
        </w:tc>
      </w:tr>
      <w:tr w:rsidR="007C0256">
        <w:tc>
          <w:tcPr>
            <w:tcW w:w="2917" w:type="dxa"/>
          </w:tcPr>
          <w:p w:rsidR="007C0256" w:rsidRDefault="007C0256">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7C0256" w:rsidRDefault="00B87DB4">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7C0256">
        <w:tc>
          <w:tcPr>
            <w:tcW w:w="2917" w:type="dxa"/>
          </w:tcPr>
          <w:p w:rsidR="007C0256" w:rsidRDefault="007C0256">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7C0256" w:rsidRDefault="00B87DB4">
            <w:pPr>
              <w:numPr>
                <w:ilvl w:val="1"/>
                <w:numId w:val="6"/>
              </w:numPr>
              <w:tabs>
                <w:tab w:val="left" w:pos="-576"/>
                <w:tab w:val="left" w:pos="144"/>
              </w:tabs>
              <w:spacing w:after="120"/>
              <w:ind w:hanging="545"/>
              <w:rPr>
                <w:i/>
                <w:sz w:val="24"/>
                <w:szCs w:val="24"/>
              </w:rPr>
            </w:pPr>
            <w:r>
              <w:rPr>
                <w:rFonts w:ascii="Arial" w:eastAsia="Arial" w:hAnsi="Arial"/>
                <w:sz w:val="24"/>
                <w:szCs w:val="24"/>
              </w:rPr>
              <w:t xml:space="preserve">any investigation relating  to  employment matters by the Equality and Human Rights Commission or other enforcement, regulatory or supervisory body and of implementing any requirements </w:t>
            </w:r>
            <w:r>
              <w:rPr>
                <w:rFonts w:ascii="Arial" w:eastAsia="Arial" w:hAnsi="Arial"/>
                <w:sz w:val="24"/>
                <w:szCs w:val="24"/>
              </w:rPr>
              <w:t>which may arise from such investigation;</w:t>
            </w:r>
          </w:p>
        </w:tc>
      </w:tr>
      <w:tr w:rsidR="007C0256">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rsidR="007C0256" w:rsidRDefault="00B87DB4">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sz w:val="24"/>
                <w:szCs w:val="24"/>
              </w:rPr>
              <w:t>Subcontractor);</w:t>
            </w:r>
          </w:p>
        </w:tc>
      </w:tr>
      <w:tr w:rsidR="007C0256">
        <w:trPr>
          <w:trHeight w:val="3560"/>
        </w:trPr>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rsidR="007C0256" w:rsidRDefault="00B87DB4">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7C0256" w:rsidRDefault="00B87DB4">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rsidR="007C0256" w:rsidRDefault="00B87DB4">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7C0256">
        <w:trPr>
          <w:trHeight w:val="1824"/>
        </w:trPr>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rsidR="007C0256" w:rsidRDefault="00B87DB4">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w:t>
            </w:r>
            <w:r>
              <w:rPr>
                <w:rFonts w:ascii="Arial" w:eastAsia="Arial" w:hAnsi="Arial"/>
                <w:sz w:val="24"/>
                <w:szCs w:val="24"/>
              </w:rPr>
              <w:t>e 2004;</w:t>
            </w:r>
          </w:p>
        </w:tc>
      </w:tr>
      <w:tr w:rsidR="007C0256">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rsidR="007C0256" w:rsidRDefault="00B87DB4">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sz w:val="24"/>
                <w:szCs w:val="24"/>
              </w:rPr>
              <w:t>);</w:t>
            </w:r>
          </w:p>
        </w:tc>
      </w:tr>
      <w:tr w:rsidR="007C0256">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rsidR="007C0256" w:rsidRDefault="00B87DB4">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7C0256">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rsidR="007C0256" w:rsidRDefault="00B87DB4">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sz w:val="24"/>
                <w:szCs w:val="24"/>
              </w:rPr>
              <w:t>l Employees because they remain continuously employed by the Supplier (or Subcontractor), references to the Relevant Transfer Date shall become references to the Start Date;</w:t>
            </w:r>
          </w:p>
        </w:tc>
      </w:tr>
      <w:tr w:rsidR="007C0256">
        <w:tc>
          <w:tcPr>
            <w:tcW w:w="2917" w:type="dxa"/>
          </w:tcPr>
          <w:p w:rsidR="007C0256" w:rsidRDefault="00B87DB4">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rsidR="007C0256" w:rsidRDefault="00B87DB4">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sz w:val="24"/>
                <w:szCs w:val="24"/>
              </w:rPr>
              <w:t>ata Protection Legislation), but including in an anonymised format:</w:t>
            </w:r>
          </w:p>
          <w:p w:rsidR="007C0256" w:rsidRDefault="00B87DB4">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7C0256">
        <w:tc>
          <w:tcPr>
            <w:tcW w:w="2917" w:type="dxa"/>
          </w:tcPr>
          <w:p w:rsidR="007C0256" w:rsidRDefault="007C0256">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C0256" w:rsidRDefault="00B87DB4">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details of whether they are employed, self-employed contractors or consultants, agency workers or otherwise;</w:t>
            </w:r>
          </w:p>
        </w:tc>
      </w:tr>
      <w:tr w:rsidR="007C0256">
        <w:tc>
          <w:tcPr>
            <w:tcW w:w="2917" w:type="dxa"/>
          </w:tcPr>
          <w:p w:rsidR="007C0256" w:rsidRDefault="007C0256">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C0256" w:rsidRDefault="00B87DB4">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7C0256">
        <w:tc>
          <w:tcPr>
            <w:tcW w:w="2917" w:type="dxa"/>
          </w:tcPr>
          <w:p w:rsidR="007C0256" w:rsidRDefault="007C0256">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C0256" w:rsidRDefault="00B87DB4">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r>
            <w:r>
              <w:rPr>
                <w:rFonts w:ascii="Arial" w:eastAsia="Arial" w:hAnsi="Arial"/>
                <w:sz w:val="24"/>
                <w:szCs w:val="24"/>
              </w:rPr>
              <w:t>their relevant contractual notice periods and any other terms relating to termination of employment, including redundancy procedures, and redundancy payments;</w:t>
            </w:r>
          </w:p>
        </w:tc>
      </w:tr>
      <w:tr w:rsidR="007C0256">
        <w:tc>
          <w:tcPr>
            <w:tcW w:w="2917" w:type="dxa"/>
          </w:tcPr>
          <w:p w:rsidR="007C0256" w:rsidRDefault="007C0256">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C0256" w:rsidRDefault="00B87DB4">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7C0256">
        <w:tc>
          <w:tcPr>
            <w:tcW w:w="2917" w:type="dxa"/>
          </w:tcPr>
          <w:p w:rsidR="007C0256" w:rsidRDefault="007C0256">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C0256" w:rsidRDefault="00B87DB4">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w:t>
            </w:r>
            <w:r>
              <w:rPr>
                <w:rFonts w:ascii="Arial" w:eastAsia="Arial" w:hAnsi="Arial"/>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7C0256">
        <w:tc>
          <w:tcPr>
            <w:tcW w:w="2917" w:type="dxa"/>
          </w:tcPr>
          <w:p w:rsidR="007C0256" w:rsidRDefault="007C0256">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C0256" w:rsidRDefault="00B87DB4">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r>
            <w:r>
              <w:rPr>
                <w:rFonts w:ascii="Arial" w:eastAsia="Arial" w:hAnsi="Arial"/>
                <w:sz w:val="24"/>
                <w:szCs w:val="24"/>
              </w:rPr>
              <w:t>any outstanding or potential contractual, statutory or other liabilities in respect of such individuals (including in respect of personal injury claims);</w:t>
            </w:r>
          </w:p>
        </w:tc>
      </w:tr>
      <w:tr w:rsidR="007C0256">
        <w:tc>
          <w:tcPr>
            <w:tcW w:w="2917" w:type="dxa"/>
          </w:tcPr>
          <w:p w:rsidR="007C0256" w:rsidRDefault="007C0256">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C0256" w:rsidRDefault="00B87DB4">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details of any such individuals on long term sickness absence, parental leave, maternity leave o</w:t>
            </w:r>
            <w:r>
              <w:rPr>
                <w:rFonts w:ascii="Arial" w:eastAsia="Arial" w:hAnsi="Arial"/>
                <w:sz w:val="24"/>
                <w:szCs w:val="24"/>
              </w:rPr>
              <w:t xml:space="preserve">r other authorised long term absence; </w:t>
            </w:r>
          </w:p>
        </w:tc>
      </w:tr>
      <w:tr w:rsidR="007C0256">
        <w:tc>
          <w:tcPr>
            <w:tcW w:w="2917" w:type="dxa"/>
          </w:tcPr>
          <w:p w:rsidR="007C0256" w:rsidRDefault="007C0256">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C0256" w:rsidRDefault="00B87DB4">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r>
            <w:r>
              <w:rPr>
                <w:rFonts w:ascii="Arial" w:eastAsia="Arial" w:hAnsi="Arial"/>
                <w:sz w:val="24"/>
                <w:szCs w:val="24"/>
              </w:rPr>
              <w:t>copies of all relevant documents and materials relating to such information, including copies of relevant contracts of employment (or relevant standard contracts if applied generally in respect of such employees); and</w:t>
            </w:r>
          </w:p>
        </w:tc>
      </w:tr>
      <w:tr w:rsidR="007C0256">
        <w:tc>
          <w:tcPr>
            <w:tcW w:w="2917" w:type="dxa"/>
          </w:tcPr>
          <w:p w:rsidR="007C0256" w:rsidRDefault="007C0256">
            <w:pPr>
              <w:pBdr>
                <w:top w:val="nil"/>
                <w:left w:val="nil"/>
                <w:bottom w:val="nil"/>
                <w:right w:val="nil"/>
                <w:between w:val="nil"/>
              </w:pBdr>
              <w:spacing w:before="120" w:after="120"/>
              <w:ind w:left="709" w:firstLine="0"/>
              <w:rPr>
                <w:rFonts w:ascii="Arial" w:eastAsia="Arial" w:hAnsi="Arial"/>
                <w:b/>
                <w:sz w:val="24"/>
                <w:szCs w:val="24"/>
              </w:rPr>
            </w:pPr>
          </w:p>
          <w:p w:rsidR="007C0256" w:rsidRDefault="007C0256">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rsidR="007C0256" w:rsidRDefault="00B87DB4">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r>
            <w:r>
              <w:rPr>
                <w:rFonts w:ascii="Arial" w:eastAsia="Arial" w:hAnsi="Arial"/>
                <w:sz w:val="24"/>
                <w:szCs w:val="24"/>
              </w:rPr>
              <w:t xml:space="preserve">any other "employee liability information" as such term is defined in regulation 11 of the Employment Regulations; </w:t>
            </w:r>
          </w:p>
        </w:tc>
      </w:tr>
      <w:tr w:rsidR="007C0256">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rsidR="007C0256" w:rsidRDefault="00B87DB4">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7C0256">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rsidR="007C0256" w:rsidRDefault="00B87DB4">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sz w:val="24"/>
                <w:szCs w:val="24"/>
              </w:rPr>
              <w:t>st will no longer be provided by the Supplier;</w:t>
            </w:r>
          </w:p>
        </w:tc>
      </w:tr>
      <w:tr w:rsidR="007C0256">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rsidR="007C0256" w:rsidRDefault="00B87DB4">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7C0256">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rsidR="007C0256" w:rsidRDefault="00B87DB4">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7C0256">
        <w:tc>
          <w:tcPr>
            <w:tcW w:w="2917" w:type="dxa"/>
          </w:tcPr>
          <w:p w:rsidR="007C0256" w:rsidRDefault="00B87DB4">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rsidR="007C0256" w:rsidRDefault="00B87DB4">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rsidR="007C0256" w:rsidRDefault="00B87DB4">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7C0256" w:rsidRDefault="00B87DB4">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rsidR="007C0256" w:rsidRDefault="00B87DB4">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 Part E of this Schedule (together “Third Party Provisions”) confer benefits on third parties (each</w:t>
      </w:r>
      <w:r>
        <w:rPr>
          <w:rFonts w:ascii="Arial" w:eastAsia="Arial" w:hAnsi="Arial"/>
          <w:color w:val="000000"/>
          <w:sz w:val="24"/>
          <w:szCs w:val="24"/>
        </w:rPr>
        <w:t xml:space="preserve"> such person a “Third Party Beneficiary”) and are intended to be enforceable by Third Party Beneficiaries by virtue of the CRTPA.  </w:t>
      </w:r>
    </w:p>
    <w:p w:rsidR="007C0256" w:rsidRDefault="00B87DB4">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w:t>
      </w:r>
      <w:r>
        <w:rPr>
          <w:rFonts w:ascii="Arial" w:eastAsia="Arial" w:hAnsi="Arial"/>
          <w:color w:val="000000"/>
          <w:sz w:val="24"/>
          <w:szCs w:val="24"/>
        </w:rPr>
        <w:t xml:space="preserve">e any term of this Call-Off Contract but this does not affect any right or remedy of any person which exists or is available otherwise than pursuant to that Act. </w:t>
      </w:r>
    </w:p>
    <w:p w:rsidR="007C0256" w:rsidRDefault="00B87DB4">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w:t>
      </w:r>
      <w:r>
        <w:rPr>
          <w:rFonts w:ascii="Arial" w:eastAsia="Arial" w:hAnsi="Arial"/>
          <w:color w:val="000000"/>
          <w:sz w:val="24"/>
          <w:szCs w:val="24"/>
        </w:rPr>
        <w:t>n without the prior written consent of the Buyer, which may, if given, be given on and subject to such terms as the Buyer may determine.</w:t>
      </w:r>
    </w:p>
    <w:p w:rsidR="007C0256" w:rsidRDefault="00B87DB4">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amendments or modifications to this Call-Off Contract may be made, and any rights created under Paragraph 2.2 above</w:t>
      </w:r>
      <w:r>
        <w:rPr>
          <w:rFonts w:ascii="Arial" w:eastAsia="Arial" w:hAnsi="Arial"/>
          <w:color w:val="000000"/>
          <w:sz w:val="24"/>
          <w:szCs w:val="24"/>
        </w:rPr>
        <w:t xml:space="preserve"> may be altered or extinguished, by the Parties without the consent of any Third Party Beneficiary.  </w:t>
      </w:r>
    </w:p>
    <w:p w:rsidR="007C0256" w:rsidRDefault="00B87DB4">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7C0256" w:rsidRDefault="00B87DB4">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7C0256" w:rsidRDefault="00B87DB4">
      <w:pPr>
        <w:ind w:left="357"/>
        <w:rPr>
          <w:rFonts w:ascii="Arial" w:eastAsia="Arial" w:hAnsi="Arial"/>
          <w:sz w:val="24"/>
          <w:szCs w:val="24"/>
        </w:rPr>
      </w:pPr>
      <w:r>
        <w:rPr>
          <w:rFonts w:ascii="Arial" w:eastAsia="Arial" w:hAnsi="Arial"/>
          <w:b/>
          <w:sz w:val="24"/>
          <w:szCs w:val="24"/>
        </w:rPr>
        <w:t>[</w:t>
      </w:r>
      <w:r w:rsidRPr="00F13AF0">
        <w:rPr>
          <w:rFonts w:ascii="Arial" w:eastAsia="Arial" w:hAnsi="Arial"/>
          <w:b/>
          <w:sz w:val="24"/>
          <w:szCs w:val="24"/>
        </w:rPr>
        <w:t>Delete</w:t>
      </w:r>
      <w:r>
        <w:rPr>
          <w:rFonts w:ascii="Arial" w:eastAsia="Arial" w:hAnsi="Arial"/>
          <w:sz w:val="24"/>
          <w:szCs w:val="24"/>
        </w:rPr>
        <w:t xml:space="preserve"> if not applicable to the Call Off Contract]</w:t>
      </w:r>
    </w:p>
    <w:p w:rsidR="007C0256" w:rsidRDefault="00B87DB4">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7C0256" w:rsidRDefault="00B87DB4">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7C0256" w:rsidRDefault="00B87DB4">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7C0256" w:rsidRDefault="00B87DB4">
      <w:pPr>
        <w:numPr>
          <w:ilvl w:val="1"/>
          <w:numId w:val="15"/>
        </w:numPr>
        <w:spacing w:after="0" w:line="259" w:lineRule="auto"/>
        <w:rPr>
          <w:rFonts w:ascii="Arial" w:eastAsia="Arial" w:hAnsi="Arial"/>
          <w:sz w:val="24"/>
          <w:szCs w:val="24"/>
        </w:rPr>
      </w:pPr>
      <w:r>
        <w:rPr>
          <w:rFonts w:ascii="Arial" w:eastAsia="Arial" w:hAnsi="Arial"/>
          <w:sz w:val="24"/>
          <w:szCs w:val="24"/>
        </w:rPr>
        <w:t>[Part D (Pens</w:t>
      </w:r>
      <w:r>
        <w:rPr>
          <w:rFonts w:ascii="Arial" w:eastAsia="Arial" w:hAnsi="Arial"/>
          <w:sz w:val="24"/>
          <w:szCs w:val="24"/>
        </w:rPr>
        <w:t xml:space="preserve">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7C0256" w:rsidRDefault="00B87DB4">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7C0256" w:rsidRDefault="00B87DB4">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7C0256" w:rsidRDefault="00B87DB4">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7C0256" w:rsidRDefault="00B87DB4">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7C0256" w:rsidRDefault="00B87DB4">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7C0256" w:rsidRDefault="007C0256">
      <w:pPr>
        <w:ind w:left="357"/>
        <w:rPr>
          <w:rFonts w:ascii="Arial" w:eastAsia="Arial" w:hAnsi="Arial"/>
          <w:sz w:val="24"/>
          <w:szCs w:val="24"/>
        </w:rPr>
      </w:pPr>
    </w:p>
    <w:p w:rsidR="007C0256" w:rsidRDefault="00B87DB4">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7C0256" w:rsidRDefault="00B87DB4">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7C0256" w:rsidRDefault="00B87DB4">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rsidR="007C0256" w:rsidRDefault="00B87DB4">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of employment between the Buyer and the Transferring Buyer Employees (except in relation to any terms disapplied through operation of regulation 10(2) of the Employment Regulations) </w:t>
      </w:r>
      <w:r>
        <w:rPr>
          <w:rFonts w:ascii="Arial" w:eastAsia="Arial" w:hAnsi="Arial"/>
          <w:color w:val="000000"/>
          <w:sz w:val="24"/>
          <w:szCs w:val="24"/>
        </w:rPr>
        <w:t>will have effect on and from the Relevant Transfer Date as if originally made between the Supplier and/or any Sub-contractor and each such Transferring Buyer Employee.</w:t>
      </w:r>
    </w:p>
    <w:p w:rsidR="007C0256" w:rsidRDefault="00B87DB4">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w:t>
      </w:r>
      <w:r>
        <w:rPr>
          <w:rFonts w:ascii="Arial" w:eastAsia="Arial" w:hAnsi="Arial"/>
          <w:color w:val="000000"/>
          <w:sz w:val="24"/>
          <w:szCs w:val="24"/>
        </w:rPr>
        <w:t>ll perform and discharge all its obligations in respect of the Transferring Buyer Employees in respect of the period arising up to (but not including) the Relevant Transfer Date (including (without limit) the payment of all remuneration, benefits, entitlem</w:t>
      </w:r>
      <w:r>
        <w:rPr>
          <w:rFonts w:ascii="Arial" w:eastAsia="Arial" w:hAnsi="Arial"/>
          <w:color w:val="000000"/>
          <w:sz w:val="24"/>
          <w:szCs w:val="24"/>
        </w:rPr>
        <w:t>ents and outgoings, all wages, accrued but untaken holiday pay, bonuses, commissions, payments of PAYE, national insurance contributions and pension contributions which in any case are attributable in whole or in part to the period up to (but not including</w:t>
      </w:r>
      <w:r>
        <w:rPr>
          <w:rFonts w:ascii="Arial" w:eastAsia="Arial" w:hAnsi="Arial"/>
          <w:color w:val="000000"/>
          <w:sz w:val="24"/>
          <w:szCs w:val="24"/>
        </w:rPr>
        <w:t>) the Relevant Transfer Date) and any necessary apportionments in respect of any periodic payments shall be made between: (i) the Buyer; and (ii) the Supplier and/or any Subcontractor (as appropriate).</w:t>
      </w:r>
    </w:p>
    <w:p w:rsidR="007C0256" w:rsidRDefault="00B87DB4">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rsidR="007C0256" w:rsidRDefault="00B87DB4">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7C0256" w:rsidRDefault="00B87DB4">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collective agreement applica</w:t>
      </w:r>
      <w:r>
        <w:rPr>
          <w:rFonts w:ascii="Arial" w:eastAsia="Arial" w:hAnsi="Arial"/>
          <w:color w:val="000000"/>
          <w:sz w:val="24"/>
          <w:szCs w:val="24"/>
        </w:rPr>
        <w:t xml:space="preserve">ble to the Transferring Buyer Employees; and/or </w:t>
      </w:r>
    </w:p>
    <w:p w:rsidR="007C0256" w:rsidRDefault="00B87DB4">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w:t>
      </w:r>
      <w:r>
        <w:rPr>
          <w:rFonts w:ascii="Arial" w:eastAsia="Arial" w:hAnsi="Arial"/>
          <w:color w:val="000000"/>
          <w:sz w:val="24"/>
          <w:szCs w:val="24"/>
        </w:rPr>
        <w:t>r Employees arising from or connected with any failure by the Buyer to comply with any legal obligation to such trade union, body or person arising before the Relevant Transfer Date;</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w:t>
      </w:r>
      <w:r>
        <w:rPr>
          <w:rFonts w:ascii="Arial" w:eastAsia="Arial" w:hAnsi="Arial"/>
          <w:color w:val="000000"/>
          <w:sz w:val="24"/>
          <w:szCs w:val="24"/>
        </w:rPr>
        <w:t>espect of any financial obligation including, but not limited to, PAYE and primary and secondary national insurance contributions:</w:t>
      </w:r>
    </w:p>
    <w:p w:rsidR="007C0256" w:rsidRDefault="00B87DB4">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7C0256" w:rsidRDefault="00B87DB4">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w:t>
      </w:r>
      <w:r>
        <w:rPr>
          <w:rFonts w:ascii="Arial" w:eastAsia="Arial" w:hAnsi="Arial"/>
          <w:color w:val="000000"/>
          <w:sz w:val="24"/>
          <w:szCs w:val="24"/>
        </w:rPr>
        <w:t xml:space="preserve"> Transferring Buyer Employee and in respect of whom it is later alleged or determined that the Employment Regulations applied so as to transfer his/her employment from the Buyer to the Supplier and/or any Subcontractor as appropriate, to the extent that th</w:t>
      </w:r>
      <w:r>
        <w:rPr>
          <w:rFonts w:ascii="Arial" w:eastAsia="Arial" w:hAnsi="Arial"/>
          <w:color w:val="000000"/>
          <w:sz w:val="24"/>
          <w:szCs w:val="24"/>
        </w:rPr>
        <w:t>e proceeding, claim or demand by the HMRC or other statutory authority relates to financial obligations arising before the Relevant Transfer Date.</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Buyer to discharge, or procure the discharge of, all wages, salaries and all other benefits </w:t>
      </w:r>
      <w:r>
        <w:rPr>
          <w:rFonts w:ascii="Arial" w:eastAsia="Arial" w:hAnsi="Arial"/>
          <w:color w:val="000000"/>
          <w:sz w:val="24"/>
          <w:szCs w:val="24"/>
        </w:rPr>
        <w:t>and all PAYE tax deductions and national insurance contributions relating to the Transferring Buyer Employees arising before the Relevant Transfer Date;</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w:t>
      </w:r>
      <w:r>
        <w:rPr>
          <w:rFonts w:ascii="Arial" w:eastAsia="Arial" w:hAnsi="Arial"/>
          <w:color w:val="000000"/>
          <w:sz w:val="24"/>
          <w:szCs w:val="24"/>
        </w:rPr>
        <w:t>ransferring Buyer Employee for whom it is alleged the Supplier and/or any Subcontractor as appropriate may be liable by virtue of the Employment Regulations and/or the Acquired Rights Directive; and</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w:t>
      </w:r>
      <w:r>
        <w:rPr>
          <w:rFonts w:ascii="Arial" w:eastAsia="Arial" w:hAnsi="Arial"/>
          <w:color w:val="000000"/>
          <w:sz w:val="24"/>
          <w:szCs w:val="24"/>
        </w:rPr>
        <w:t xml:space="preserve">mployee or any appropriate employee representative (as defined in the Employment Regulations) of any Transferring Buyer Employee relating to any act or omission of the Buyer in relation to its obligations under regulation 13 of the Employment Regulations, </w:t>
      </w:r>
      <w:r>
        <w:rPr>
          <w:rFonts w:ascii="Arial" w:eastAsia="Arial" w:hAnsi="Arial"/>
          <w:color w:val="000000"/>
          <w:sz w:val="24"/>
          <w:szCs w:val="24"/>
        </w:rPr>
        <w:t>except to the extent that the liability arises from the failure by the Supplier or any Subcontractor to comply with regulation 13(4) of the Employment Regulations.</w:t>
      </w:r>
    </w:p>
    <w:p w:rsidR="007C0256" w:rsidRDefault="00B87DB4">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indemnities in Paragraph 2.1 shall not apply to the extent that the Employee Liabilities</w:t>
      </w:r>
      <w:r>
        <w:rPr>
          <w:rFonts w:ascii="Arial" w:eastAsia="Arial" w:hAnsi="Arial"/>
          <w:color w:val="000000"/>
          <w:sz w:val="24"/>
          <w:szCs w:val="24"/>
        </w:rPr>
        <w:t xml:space="preserve"> arise or are attributable to an act or omission of the Supplier or any Subcontractor whether occurring or having its origin before, on or after the Relevant Transfer Date including any Employee Liabilities: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w:t>
      </w:r>
      <w:r>
        <w:rPr>
          <w:rFonts w:ascii="Arial" w:eastAsia="Arial" w:hAnsi="Arial"/>
          <w:color w:val="000000"/>
          <w:sz w:val="24"/>
          <w:szCs w:val="24"/>
        </w:rPr>
        <w:t>ing Buyer Employee before the Relevant Transfer Date on account of substantial detrimental changes to his/her working conditions proposed by the Supplier and/or any Subcontractor to occur in the period from (and including) the Relevant Transfer Date; or</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w:t>
      </w:r>
      <w:r>
        <w:rPr>
          <w:rFonts w:ascii="Arial" w:eastAsia="Arial" w:hAnsi="Arial"/>
          <w:color w:val="000000"/>
          <w:sz w:val="24"/>
          <w:szCs w:val="24"/>
        </w:rPr>
        <w:t>ising from the failure by the Supplier or any Subcontractor to comply with its obligations under the Employment Regulations.</w:t>
      </w:r>
    </w:p>
    <w:p w:rsidR="007C0256" w:rsidRDefault="007C0256">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7C0256" w:rsidRDefault="00B87DB4">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7C0256" w:rsidRDefault="007C0256">
      <w:pPr>
        <w:pBdr>
          <w:top w:val="nil"/>
          <w:left w:val="nil"/>
          <w:bottom w:val="nil"/>
          <w:right w:val="nil"/>
          <w:between w:val="nil"/>
        </w:pBdr>
        <w:spacing w:before="120" w:after="120"/>
        <w:ind w:left="2214" w:hanging="1080"/>
        <w:rPr>
          <w:rFonts w:ascii="Arial" w:eastAsia="Arial" w:hAnsi="Arial"/>
          <w:color w:val="000000"/>
          <w:sz w:val="24"/>
          <w:szCs w:val="24"/>
        </w:rPr>
      </w:pPr>
    </w:p>
    <w:p w:rsidR="007C0256" w:rsidRDefault="00B87DB4">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w:t>
      </w:r>
      <w:r>
        <w:rPr>
          <w:rFonts w:ascii="Arial" w:eastAsia="Arial" w:hAnsi="Arial"/>
          <w:color w:val="000000"/>
          <w:sz w:val="24"/>
          <w:szCs w:val="24"/>
        </w:rPr>
        <w:t>ent;</w:t>
      </w:r>
    </w:p>
    <w:p w:rsidR="007C0256" w:rsidRDefault="00B87DB4">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7C0256" w:rsidRDefault="00B87DB4">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7C0256" w:rsidRDefault="00B87DB4">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w:t>
      </w:r>
      <w:r>
        <w:rPr>
          <w:rFonts w:ascii="Arial" w:eastAsia="Arial" w:hAnsi="Arial"/>
          <w:color w:val="000000"/>
          <w:sz w:val="24"/>
          <w:szCs w:val="24"/>
        </w:rPr>
        <w:t xml:space="preserve">takes, all reasonable steps to minimise any such Employee Liabilities. </w:t>
      </w:r>
    </w:p>
    <w:p w:rsidR="007C0256" w:rsidRDefault="00B87DB4">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7C0256" w:rsidRDefault="00B87DB4">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7C0256" w:rsidRDefault="00B87DB4">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7C0256" w:rsidRDefault="00B87DB4">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7C0256" w:rsidRDefault="00B87DB4">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7C0256" w:rsidRDefault="00B87DB4">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7C0256" w:rsidRDefault="00B87DB4">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7C0256" w:rsidRDefault="00B87DB4">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rsidR="007C0256" w:rsidRDefault="00B87DB4">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Subject to Pa</w:t>
      </w:r>
      <w:r>
        <w:rPr>
          <w:rFonts w:ascii="Arial" w:eastAsia="Arial" w:hAnsi="Arial"/>
          <w:color w:val="000000"/>
          <w:sz w:val="24"/>
          <w:szCs w:val="24"/>
        </w:rPr>
        <w:t xml:space="preserve">ragraph 3.2, the Supplier shall indemnify the Buyer against any Employee Liabilities arising from or as a result of: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w:t>
      </w:r>
      <w:r>
        <w:rPr>
          <w:rFonts w:ascii="Arial" w:eastAsia="Arial" w:hAnsi="Arial"/>
          <w:color w:val="000000"/>
          <w:sz w:val="24"/>
          <w:szCs w:val="24"/>
        </w:rPr>
        <w:t xml:space="preserve">entative (as defined in the Employment Regulations) of any Transferring Buyer Employee whether occurring before, on or after the Relevant Transfer Date;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w:t>
      </w:r>
      <w:r>
        <w:rPr>
          <w:rFonts w:ascii="Arial" w:eastAsia="Arial" w:hAnsi="Arial"/>
          <w:color w:val="000000"/>
          <w:sz w:val="24"/>
          <w:szCs w:val="24"/>
        </w:rPr>
        <w:t>te of:</w:t>
      </w:r>
    </w:p>
    <w:p w:rsidR="007C0256" w:rsidRDefault="00B87DB4">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7C0256" w:rsidRDefault="00B87DB4">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7C0256" w:rsidRDefault="00B87DB4">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7C0256" w:rsidRDefault="00B87DB4">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ity Employees in respect of the period from (and including) the Relevant Transfer Date;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w:t>
      </w:r>
      <w:r>
        <w:rPr>
          <w:rFonts w:ascii="Arial" w:eastAsia="Arial" w:hAnsi="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olor w:val="000000"/>
          <w:sz w:val="24"/>
          <w:szCs w:val="24"/>
        </w:rPr>
        <w:t>cept to the extent that the liability arises from the Buyer’s failure to comply with its obligations under regulation 13 of the Employment Regulations; and</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w:t>
      </w:r>
      <w:r>
        <w:rPr>
          <w:rFonts w:ascii="Arial" w:eastAsia="Arial" w:hAnsi="Arial"/>
          <w:color w:val="000000"/>
          <w:sz w:val="24"/>
          <w:szCs w:val="24"/>
        </w:rPr>
        <w:t>bove.</w:t>
      </w:r>
    </w:p>
    <w:p w:rsidR="007C0256" w:rsidRDefault="00B87DB4">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7C0256" w:rsidRDefault="00B87DB4">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7C0256" w:rsidRDefault="00B87DB4">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7C0256" w:rsidRDefault="00B87DB4">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w:t>
      </w:r>
      <w:r>
        <w:rPr>
          <w:rFonts w:ascii="Arial" w:eastAsia="Arial" w:hAnsi="Arial"/>
          <w:sz w:val="24"/>
          <w:szCs w:val="24"/>
        </w:rPr>
        <w:t>hall promptly provide to the Supplier and any Subcontractor in writing such information as is necessary to enable the Supplier and any Subcontractor to carry out their respective duties under regulation 13 of the Employment Regulations.</w:t>
      </w:r>
    </w:p>
    <w:p w:rsidR="007C0256" w:rsidRDefault="00B87DB4">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w:t>
      </w:r>
      <w:r>
        <w:rPr>
          <w:rFonts w:ascii="Arial Bold" w:eastAsia="Arial Bold" w:hAnsi="Arial Bold" w:cs="Arial Bold"/>
          <w:b/>
          <w:color w:val="000000"/>
          <w:sz w:val="24"/>
          <w:szCs w:val="24"/>
        </w:rPr>
        <w:t>irements</w:t>
      </w:r>
    </w:p>
    <w:p w:rsidR="007C0256" w:rsidRDefault="00B87DB4">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w:t>
      </w:r>
      <w:r>
        <w:rPr>
          <w:rFonts w:ascii="Arial" w:eastAsia="Arial" w:hAnsi="Arial"/>
          <w:color w:val="000000"/>
          <w:sz w:val="24"/>
          <w:szCs w:val="24"/>
        </w:rPr>
        <w:t>es to treat such employees in accordance with the provisions of the Principles of Good Employment Practice.</w:t>
      </w:r>
    </w:p>
    <w:p w:rsidR="007C0256" w:rsidRDefault="00B87DB4">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The Supplier shall, and shall procure that each Subcontractor shall, comply with any requirement notified to it by the Buyer relating to pensions in</w:t>
      </w:r>
      <w:r>
        <w:rPr>
          <w:rFonts w:ascii="Arial" w:eastAsia="Arial" w:hAnsi="Arial"/>
          <w:color w:val="000000"/>
          <w:sz w:val="24"/>
          <w:szCs w:val="24"/>
        </w:rPr>
        <w:t xml:space="preserve"> respect of any Transferring Buyer Employee as set down in: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7C0256" w:rsidRDefault="007C0256">
      <w:pPr>
        <w:pBdr>
          <w:top w:val="nil"/>
          <w:left w:val="nil"/>
          <w:bottom w:val="nil"/>
          <w:right w:val="nil"/>
          <w:between w:val="nil"/>
        </w:pBdr>
        <w:spacing w:before="120" w:after="120"/>
        <w:ind w:left="2214" w:hanging="1080"/>
        <w:rPr>
          <w:rFonts w:eastAsia="Calibri" w:cs="Calibri"/>
          <w:color w:val="000000"/>
        </w:rPr>
      </w:pPr>
    </w:p>
    <w:p w:rsidR="007C0256" w:rsidRDefault="00B87DB4">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7C0256" w:rsidRDefault="00B87DB4">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7C0256" w:rsidRDefault="00B87DB4">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7C0256" w:rsidRDefault="00B87DB4">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7C0256" w:rsidRDefault="00B87DB4">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rsidR="007C0256" w:rsidRDefault="00B87DB4">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7C0256" w:rsidRDefault="00B87DB4">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7C0256" w:rsidRDefault="00B87DB4">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7C0256" w:rsidRDefault="00B87DB4">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7C0256" w:rsidRDefault="00B87DB4">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rsidR="007C0256" w:rsidRDefault="00B87DB4">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w:t>
      </w:r>
      <w:r>
        <w:rPr>
          <w:rFonts w:ascii="Arial" w:eastAsia="Arial" w:hAnsi="Arial"/>
          <w:color w:val="000000"/>
          <w:sz w:val="24"/>
          <w:szCs w:val="24"/>
        </w:rPr>
        <w:t>ansferring Former Supplier Employee or any appropriate employee representative (as defined in the Employment Regulations) of any Transferring Former Supplier Employee arising before the Relevant Transfer Date;</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w:t>
      </w:r>
      <w:r>
        <w:rPr>
          <w:rFonts w:ascii="Arial" w:eastAsia="Arial" w:hAnsi="Arial"/>
          <w:color w:val="000000"/>
          <w:sz w:val="24"/>
          <w:szCs w:val="24"/>
        </w:rPr>
        <w:t>plier arising before the Relevant Transfer Date of:</w:t>
      </w:r>
    </w:p>
    <w:p w:rsidR="007C0256" w:rsidRDefault="00B87DB4">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7C0256" w:rsidRDefault="00B87DB4">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7C0256" w:rsidRDefault="00B87DB4">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7C0256" w:rsidRDefault="00B87DB4">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bility arises from the failure by the Supplier or any Subcontractor to comply with regulation 13(4) of the Employment Regulations.</w:t>
      </w:r>
    </w:p>
    <w:p w:rsidR="007C0256" w:rsidRDefault="007C0256">
      <w:pPr>
        <w:pBdr>
          <w:top w:val="nil"/>
          <w:left w:val="nil"/>
          <w:bottom w:val="nil"/>
          <w:right w:val="nil"/>
          <w:between w:val="nil"/>
        </w:pBdr>
        <w:spacing w:before="120" w:after="120"/>
        <w:ind w:left="2214" w:hanging="1080"/>
        <w:rPr>
          <w:rFonts w:eastAsia="Calibri" w:cs="Calibri"/>
          <w:color w:val="000000"/>
        </w:rPr>
      </w:pPr>
    </w:p>
    <w:p w:rsidR="007C0256" w:rsidRDefault="00B87DB4">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7C0256" w:rsidRDefault="00B87DB4">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rsidR="007C0256" w:rsidRDefault="00B87DB4">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rsidR="007C0256" w:rsidRDefault="00B87DB4">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7C0256" w:rsidRDefault="00B87DB4">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7C0256" w:rsidRDefault="00B87DB4">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rsidR="007C0256" w:rsidRDefault="00B87DB4">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7C0256" w:rsidRDefault="00B87DB4">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7C0256" w:rsidRDefault="00B87DB4">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7C0256" w:rsidRDefault="00B87DB4">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7C0256" w:rsidRDefault="00B87DB4">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7C0256" w:rsidRDefault="00B87DB4">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7C0256" w:rsidRDefault="00B87DB4">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rsidR="007C0256" w:rsidRDefault="00B87DB4">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rsidR="007C0256" w:rsidRDefault="00B87DB4">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w:t>
      </w:r>
      <w:r>
        <w:rPr>
          <w:rFonts w:ascii="Arial" w:eastAsia="Arial" w:hAnsi="Arial"/>
          <w:color w:val="000000"/>
          <w:sz w:val="24"/>
          <w:szCs w:val="24"/>
        </w:rPr>
        <w:t xml:space="preserve">upplier shall indemnify the Buyer and/or  the Former Supplier against any Employee Liabilities arising from or as a result of: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w:t>
      </w:r>
      <w:r>
        <w:rPr>
          <w:rFonts w:ascii="Arial" w:eastAsia="Arial" w:hAnsi="Arial"/>
          <w:color w:val="000000"/>
          <w:sz w:val="24"/>
          <w:szCs w:val="24"/>
        </w:rPr>
        <w:t>ate employee representative (as defined in the Employment Regulations) of any Transferring Former Supplier Employee whether occurring before, on or after the Relevant Transfer Date;</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w:t>
      </w:r>
      <w:r>
        <w:rPr>
          <w:rFonts w:ascii="Arial" w:eastAsia="Arial" w:hAnsi="Arial"/>
          <w:color w:val="000000"/>
          <w:sz w:val="24"/>
          <w:szCs w:val="24"/>
        </w:rPr>
        <w:t>ter the Relevant Transfer Date of:</w:t>
      </w:r>
    </w:p>
    <w:p w:rsidR="007C0256" w:rsidRDefault="00B87DB4">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7C0256" w:rsidRDefault="00B87DB4">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7C0256" w:rsidRDefault="00B87DB4">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7C0256" w:rsidRDefault="00B87DB4">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rsidR="007C0256" w:rsidRDefault="007C0256">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rsidR="007C0256" w:rsidRDefault="00B87DB4">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7C0256" w:rsidRDefault="00B87DB4">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7C0256" w:rsidRDefault="00B87DB4">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7C0256" w:rsidRDefault="00B87DB4">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7C0256" w:rsidRDefault="00B87DB4">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7C0256" w:rsidRDefault="00B87DB4">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7C0256" w:rsidRDefault="00B87DB4">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rsidR="007C0256" w:rsidRDefault="00B87DB4">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7C0256" w:rsidRDefault="00B87DB4">
      <w:pPr>
        <w:ind w:left="357"/>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w:t>
      </w:r>
      <w:r>
        <w:rPr>
          <w:rFonts w:ascii="Arial" w:eastAsia="Arial" w:hAnsi="Arial"/>
          <w:sz w:val="24"/>
          <w:szCs w:val="24"/>
        </w:rPr>
        <w:t>’s contract with the Former Supplier contains a contractual right in that regard which the Buyer may enforce, or otherwise so that it requires only that the Buyer must use reasonable endeavours to procure that the Former Supplier does or does not act accor</w:t>
      </w:r>
      <w:r>
        <w:rPr>
          <w:rFonts w:ascii="Arial" w:eastAsia="Arial" w:hAnsi="Arial"/>
          <w:sz w:val="24"/>
          <w:szCs w:val="24"/>
        </w:rPr>
        <w:t xml:space="preserve">dingly. </w:t>
      </w:r>
    </w:p>
    <w:p w:rsidR="007C0256" w:rsidRDefault="00B87DB4">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7C0256" w:rsidRDefault="00B87DB4">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7C0256" w:rsidRDefault="00B87DB4">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7C0256" w:rsidRDefault="007C0256">
      <w:pPr>
        <w:rPr>
          <w:rFonts w:ascii="Arial" w:eastAsia="Arial" w:hAnsi="Arial"/>
          <w:sz w:val="24"/>
          <w:szCs w:val="24"/>
        </w:rPr>
      </w:pPr>
    </w:p>
    <w:p w:rsidR="007C0256" w:rsidRDefault="007C0256">
      <w:pPr>
        <w:rPr>
          <w:rFonts w:ascii="Arial" w:eastAsia="Arial" w:hAnsi="Arial"/>
          <w:sz w:val="24"/>
          <w:szCs w:val="24"/>
        </w:rPr>
      </w:pPr>
    </w:p>
    <w:p w:rsidR="007C0256" w:rsidRDefault="00B87DB4">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w:t>
      </w:r>
      <w:r>
        <w:rPr>
          <w:rFonts w:ascii="Arial Bold" w:eastAsia="Arial Bold" w:hAnsi="Arial Bold" w:cs="Arial Bold"/>
          <w:sz w:val="36"/>
          <w:szCs w:val="36"/>
        </w:rPr>
        <w:t xml:space="preserve"> No Staff Transfer on the Start Date</w:t>
      </w:r>
    </w:p>
    <w:p w:rsidR="007C0256" w:rsidRDefault="00B87DB4">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7C0256" w:rsidRDefault="00B87DB4">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7C0256" w:rsidRDefault="00B87DB4">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7C0256" w:rsidRDefault="00B87DB4">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7C0256" w:rsidRDefault="00B87DB4">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7C0256" w:rsidRDefault="00B87DB4">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rsidR="007C0256" w:rsidRDefault="00B87DB4">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rsidR="007C0256" w:rsidRDefault="00B87DB4">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7C0256" w:rsidRDefault="00B87DB4">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7C0256" w:rsidRDefault="00B87DB4">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7C0256" w:rsidRDefault="00B87DB4">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7C0256" w:rsidRDefault="007C0256">
      <w:pPr>
        <w:pBdr>
          <w:top w:val="nil"/>
          <w:left w:val="nil"/>
          <w:bottom w:val="nil"/>
          <w:right w:val="nil"/>
          <w:between w:val="nil"/>
        </w:pBdr>
        <w:spacing w:before="120" w:after="120"/>
        <w:ind w:left="1134" w:hanging="1080"/>
        <w:rPr>
          <w:rFonts w:ascii="Arial" w:eastAsia="Arial" w:hAnsi="Arial"/>
          <w:color w:val="000000"/>
          <w:sz w:val="24"/>
          <w:szCs w:val="24"/>
        </w:rPr>
      </w:pPr>
    </w:p>
    <w:p w:rsidR="007C0256" w:rsidRDefault="00B87DB4">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rsidR="007C0256" w:rsidRDefault="00B87DB4">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7C0256" w:rsidRDefault="00B87DB4">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7C0256" w:rsidRDefault="00B87DB4">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7C0256" w:rsidRDefault="00B87DB4">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7C0256" w:rsidRDefault="007C0256">
      <w:pPr>
        <w:keepNext/>
        <w:pBdr>
          <w:top w:val="nil"/>
          <w:left w:val="nil"/>
          <w:bottom w:val="nil"/>
          <w:right w:val="nil"/>
          <w:between w:val="nil"/>
        </w:pBdr>
        <w:tabs>
          <w:tab w:val="left" w:pos="993"/>
        </w:tabs>
        <w:spacing w:before="120" w:after="120"/>
        <w:ind w:left="720" w:hanging="720"/>
        <w:rPr>
          <w:rFonts w:eastAsia="Calibri" w:cs="Calibri"/>
          <w:color w:val="000000"/>
        </w:rPr>
      </w:pPr>
    </w:p>
    <w:p w:rsidR="007C0256" w:rsidRDefault="00B87DB4">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7C0256" w:rsidRDefault="00B87DB4">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7C0256" w:rsidRDefault="00B87DB4">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7C0256" w:rsidRDefault="00B87DB4">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7C0256" w:rsidRDefault="00B87DB4">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7C0256" w:rsidRDefault="00B87DB4">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7C0256" w:rsidRDefault="00B87DB4">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7C0256" w:rsidRDefault="00B87DB4">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7C0256" w:rsidRDefault="00B87DB4">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7C0256" w:rsidRDefault="00B87DB4">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7C0256" w:rsidRDefault="00B87DB4">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w:t>
      </w:r>
      <w:r>
        <w:rPr>
          <w:rFonts w:ascii="Arial" w:eastAsia="Arial" w:hAnsi="Arial"/>
          <w:sz w:val="24"/>
          <w:szCs w:val="24"/>
        </w:rPr>
        <w:t>actual right in that regard which the Buyer may enforce, or otherwise so that it requires only that the Buyer must use reasonable endeavours to procure that the Former Supplier does or does not act accordingly.</w:t>
      </w:r>
    </w:p>
    <w:p w:rsidR="007C0256" w:rsidRDefault="00B87DB4">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7C0256" w:rsidRDefault="00B87DB4">
      <w:pPr>
        <w:rPr>
          <w:rFonts w:ascii="Arial" w:eastAsia="Arial" w:hAnsi="Arial"/>
        </w:rPr>
      </w:pPr>
      <w:r w:rsidRPr="00F13AF0">
        <w:rPr>
          <w:rFonts w:ascii="Arial" w:eastAsia="Arial" w:hAnsi="Arial"/>
          <w:b/>
          <w:sz w:val="24"/>
          <w:szCs w:val="24"/>
        </w:rPr>
        <w:t xml:space="preserve">[Guidance: You should take </w:t>
      </w:r>
      <w:r w:rsidRPr="00F13AF0">
        <w:rPr>
          <w:rFonts w:ascii="Arial" w:eastAsia="Arial" w:hAnsi="Arial"/>
          <w:b/>
          <w:sz w:val="24"/>
          <w:szCs w:val="24"/>
        </w:rPr>
        <w:t>specific legal advice on this Part D. Please also note that this Part D is drafted to reflect the requirements of New Fair Deal. Accordingly, where a contracting authority is a best value authority it will be subject to the requirements of the Best Value A</w:t>
      </w:r>
      <w:r w:rsidRPr="00F13AF0">
        <w:rPr>
          <w:rFonts w:ascii="Arial" w:eastAsia="Arial" w:hAnsi="Arial"/>
          <w:b/>
          <w:sz w:val="24"/>
          <w:szCs w:val="24"/>
        </w:rPr>
        <w:t>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7C0256" w:rsidRDefault="00B87DB4">
      <w:pPr>
        <w:keepNext/>
        <w:numPr>
          <w:ilvl w:val="0"/>
          <w:numId w:val="13"/>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7C0256" w:rsidRDefault="00B87DB4">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7C0256">
        <w:tc>
          <w:tcPr>
            <w:tcW w:w="3404" w:type="dxa"/>
            <w:shd w:val="clear" w:color="auto" w:fill="auto"/>
          </w:tcPr>
          <w:p w:rsidR="007C0256" w:rsidRDefault="00B87DB4">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a Fellow of the Institute a</w:t>
            </w:r>
            <w:r>
              <w:rPr>
                <w:rFonts w:ascii="Arial" w:eastAsia="Arial" w:hAnsi="Arial"/>
                <w:sz w:val="24"/>
                <w:szCs w:val="24"/>
              </w:rPr>
              <w:t>nd Faculty of Actuaries;</w:t>
            </w:r>
          </w:p>
        </w:tc>
      </w:tr>
      <w:tr w:rsidR="007C0256">
        <w:tc>
          <w:tcPr>
            <w:tcW w:w="3404" w:type="dxa"/>
            <w:shd w:val="clear" w:color="auto" w:fill="auto"/>
          </w:tcPr>
          <w:p w:rsidR="007C0256" w:rsidRDefault="00B87DB4">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7C0256">
        <w:tc>
          <w:tcPr>
            <w:tcW w:w="3404" w:type="dxa"/>
            <w:shd w:val="clear" w:color="auto" w:fill="auto"/>
          </w:tcPr>
          <w:p w:rsidR="007C0256" w:rsidRDefault="00B87DB4">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7C0256" w:rsidRDefault="00B87DB4">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7C0256" w:rsidRDefault="007C0256">
            <w:pPr>
              <w:tabs>
                <w:tab w:val="left" w:pos="235"/>
              </w:tabs>
              <w:spacing w:before="120" w:after="120"/>
              <w:rPr>
                <w:rFonts w:ascii="Arial" w:eastAsia="Arial" w:hAnsi="Arial"/>
                <w:sz w:val="24"/>
                <w:szCs w:val="24"/>
              </w:rPr>
            </w:pPr>
          </w:p>
        </w:tc>
      </w:tr>
      <w:tr w:rsidR="007C0256">
        <w:tc>
          <w:tcPr>
            <w:tcW w:w="3404" w:type="dxa"/>
            <w:shd w:val="clear" w:color="auto" w:fill="auto"/>
          </w:tcPr>
          <w:p w:rsidR="007C0256" w:rsidRDefault="00B87DB4">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7C0256" w:rsidRDefault="00B87DB4">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w:t>
            </w:r>
            <w:r>
              <w:rPr>
                <w:rFonts w:ascii="Arial" w:eastAsia="Arial" w:hAnsi="Arial"/>
                <w:sz w:val="24"/>
                <w:szCs w:val="24"/>
              </w:rPr>
              <w:t>e no identifiable employees who will suffer material detriment overall in terms of future accrual of pension benefits as assessed in accordance with Annex A of New Fair Deal and demonstrated by the issue by the Government Actuary’s Department of a broad co</w:t>
            </w:r>
            <w:r>
              <w:rPr>
                <w:rFonts w:ascii="Arial" w:eastAsia="Arial" w:hAnsi="Arial"/>
                <w:sz w:val="24"/>
                <w:szCs w:val="24"/>
              </w:rPr>
              <w:t>mparability certificate; and/or</w:t>
            </w:r>
          </w:p>
        </w:tc>
      </w:tr>
      <w:tr w:rsidR="007C0256">
        <w:tc>
          <w:tcPr>
            <w:tcW w:w="3404" w:type="dxa"/>
            <w:shd w:val="clear" w:color="auto" w:fill="auto"/>
          </w:tcPr>
          <w:p w:rsidR="007C0256" w:rsidRDefault="007C0256">
            <w:pPr>
              <w:widowControl w:val="0"/>
              <w:spacing w:before="120" w:after="120"/>
              <w:ind w:left="720" w:firstLine="0"/>
              <w:rPr>
                <w:rFonts w:ascii="Arial" w:eastAsia="Arial" w:hAnsi="Arial"/>
                <w:b/>
                <w:sz w:val="24"/>
                <w:szCs w:val="24"/>
              </w:rPr>
            </w:pPr>
          </w:p>
        </w:tc>
        <w:tc>
          <w:tcPr>
            <w:tcW w:w="5622" w:type="dxa"/>
            <w:shd w:val="clear" w:color="auto" w:fill="auto"/>
          </w:tcPr>
          <w:p w:rsidR="007C0256" w:rsidRDefault="00B87DB4">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w:t>
            </w:r>
            <w:r>
              <w:rPr>
                <w:rFonts w:ascii="Arial" w:eastAsia="Arial" w:hAnsi="Arial"/>
                <w:sz w:val="24"/>
                <w:szCs w:val="24"/>
              </w:rPr>
              <w:t>be construed accordingly;</w:t>
            </w:r>
          </w:p>
        </w:tc>
      </w:tr>
      <w:tr w:rsidR="007C0256">
        <w:tc>
          <w:tcPr>
            <w:tcW w:w="3404" w:type="dxa"/>
            <w:shd w:val="clear" w:color="auto" w:fill="auto"/>
          </w:tcPr>
          <w:p w:rsidR="007C0256" w:rsidRDefault="00B87DB4">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rsidR="007C0256" w:rsidRDefault="00B87DB4">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7C0256">
        <w:tc>
          <w:tcPr>
            <w:tcW w:w="3404" w:type="dxa"/>
            <w:shd w:val="clear" w:color="auto" w:fill="auto"/>
          </w:tcPr>
          <w:p w:rsidR="007C0256" w:rsidRDefault="00B87DB4">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7C0256" w:rsidRDefault="00B87DB4">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7C0256" w:rsidRDefault="007C0256">
            <w:pPr>
              <w:widowControl w:val="0"/>
              <w:spacing w:before="120" w:after="120"/>
              <w:rPr>
                <w:rFonts w:ascii="Arial" w:eastAsia="Arial" w:hAnsi="Arial"/>
                <w:sz w:val="24"/>
                <w:szCs w:val="24"/>
              </w:rPr>
            </w:pPr>
          </w:p>
        </w:tc>
      </w:tr>
      <w:tr w:rsidR="007C0256">
        <w:tc>
          <w:tcPr>
            <w:tcW w:w="3404" w:type="dxa"/>
            <w:shd w:val="clear" w:color="auto" w:fill="auto"/>
          </w:tcPr>
          <w:p w:rsidR="007C0256" w:rsidRDefault="00B87DB4">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7C0256" w:rsidRDefault="00B87DB4">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rsidR="007C0256" w:rsidRDefault="007C0256">
            <w:pPr>
              <w:widowControl w:val="0"/>
              <w:spacing w:before="120" w:after="120"/>
              <w:rPr>
                <w:rFonts w:ascii="Arial" w:eastAsia="Arial" w:hAnsi="Arial"/>
                <w:sz w:val="24"/>
                <w:szCs w:val="24"/>
              </w:rPr>
            </w:pPr>
          </w:p>
        </w:tc>
      </w:tr>
      <w:tr w:rsidR="007C0256">
        <w:tc>
          <w:tcPr>
            <w:tcW w:w="3404" w:type="dxa"/>
            <w:shd w:val="clear" w:color="auto" w:fill="auto"/>
          </w:tcPr>
          <w:p w:rsidR="007C0256" w:rsidRDefault="00B87DB4">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7C0256" w:rsidRDefault="00B87DB4">
            <w:pPr>
              <w:widowControl w:val="0"/>
              <w:spacing w:before="120" w:after="120"/>
              <w:rPr>
                <w:rFonts w:ascii="Arial" w:eastAsia="Arial" w:hAnsi="Arial"/>
                <w:sz w:val="24"/>
                <w:szCs w:val="24"/>
              </w:rPr>
            </w:pPr>
            <w:r>
              <w:rPr>
                <w:rFonts w:ascii="Arial" w:eastAsia="Arial" w:hAnsi="Arial"/>
                <w:sz w:val="24"/>
                <w:szCs w:val="24"/>
              </w:rPr>
              <w:t>any of:</w:t>
            </w:r>
          </w:p>
          <w:p w:rsidR="007C0256" w:rsidRDefault="00B87DB4">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7C0256">
        <w:tc>
          <w:tcPr>
            <w:tcW w:w="3404" w:type="dxa"/>
            <w:shd w:val="clear" w:color="auto" w:fill="auto"/>
          </w:tcPr>
          <w:p w:rsidR="007C0256" w:rsidRDefault="007C0256">
            <w:pPr>
              <w:widowControl w:val="0"/>
              <w:spacing w:before="120" w:after="120"/>
              <w:ind w:left="720" w:firstLine="0"/>
              <w:rPr>
                <w:rFonts w:ascii="Arial" w:eastAsia="Arial" w:hAnsi="Arial"/>
                <w:b/>
                <w:sz w:val="24"/>
                <w:szCs w:val="24"/>
              </w:rPr>
            </w:pPr>
          </w:p>
        </w:tc>
        <w:tc>
          <w:tcPr>
            <w:tcW w:w="5622" w:type="dxa"/>
            <w:shd w:val="clear" w:color="auto" w:fill="auto"/>
          </w:tcPr>
          <w:p w:rsidR="007C0256" w:rsidRDefault="00B87DB4">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7C0256">
        <w:tc>
          <w:tcPr>
            <w:tcW w:w="3404" w:type="dxa"/>
            <w:shd w:val="clear" w:color="auto" w:fill="auto"/>
          </w:tcPr>
          <w:p w:rsidR="007C0256" w:rsidRDefault="007C0256">
            <w:pPr>
              <w:widowControl w:val="0"/>
              <w:spacing w:before="120" w:after="120"/>
              <w:ind w:left="720" w:firstLine="0"/>
              <w:rPr>
                <w:rFonts w:ascii="Arial" w:eastAsia="Arial" w:hAnsi="Arial"/>
                <w:b/>
                <w:sz w:val="24"/>
                <w:szCs w:val="24"/>
              </w:rPr>
            </w:pPr>
          </w:p>
        </w:tc>
        <w:tc>
          <w:tcPr>
            <w:tcW w:w="5622" w:type="dxa"/>
            <w:shd w:val="clear" w:color="auto" w:fill="auto"/>
          </w:tcPr>
          <w:p w:rsidR="007C0256" w:rsidRDefault="00B87DB4">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7C0256">
        <w:tc>
          <w:tcPr>
            <w:tcW w:w="3404" w:type="dxa"/>
            <w:shd w:val="clear" w:color="auto" w:fill="auto"/>
          </w:tcPr>
          <w:p w:rsidR="007C0256" w:rsidRDefault="007C0256">
            <w:pPr>
              <w:keepNext/>
              <w:widowControl w:val="0"/>
              <w:spacing w:before="120" w:after="120"/>
              <w:ind w:left="720" w:firstLine="0"/>
              <w:rPr>
                <w:rFonts w:ascii="Arial" w:eastAsia="Arial" w:hAnsi="Arial"/>
                <w:b/>
                <w:sz w:val="24"/>
                <w:szCs w:val="24"/>
              </w:rPr>
            </w:pPr>
          </w:p>
        </w:tc>
        <w:tc>
          <w:tcPr>
            <w:tcW w:w="5622" w:type="dxa"/>
            <w:shd w:val="clear" w:color="auto" w:fill="auto"/>
          </w:tcPr>
          <w:p w:rsidR="007C0256" w:rsidRDefault="00B87DB4">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7C0256">
        <w:tc>
          <w:tcPr>
            <w:tcW w:w="3404" w:type="dxa"/>
            <w:shd w:val="clear" w:color="auto" w:fill="auto"/>
          </w:tcPr>
          <w:p w:rsidR="007C0256" w:rsidRDefault="007C0256">
            <w:pPr>
              <w:widowControl w:val="0"/>
              <w:spacing w:before="120" w:after="120"/>
              <w:ind w:left="720" w:firstLine="0"/>
              <w:rPr>
                <w:rFonts w:ascii="Arial" w:eastAsia="Arial" w:hAnsi="Arial"/>
                <w:b/>
                <w:sz w:val="24"/>
                <w:szCs w:val="24"/>
              </w:rPr>
            </w:pPr>
          </w:p>
        </w:tc>
        <w:tc>
          <w:tcPr>
            <w:tcW w:w="5622" w:type="dxa"/>
            <w:shd w:val="clear" w:color="auto" w:fill="auto"/>
          </w:tcPr>
          <w:p w:rsidR="007C0256" w:rsidRDefault="00B87DB4">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w:t>
            </w:r>
            <w:r>
              <w:rPr>
                <w:rFonts w:ascii="Arial" w:eastAsia="Arial" w:hAnsi="Arial"/>
                <w:sz w:val="24"/>
                <w:szCs w:val="24"/>
              </w:rPr>
              <w:t>ied by the Buyer;</w:t>
            </w:r>
          </w:p>
        </w:tc>
      </w:tr>
      <w:tr w:rsidR="007C0256">
        <w:tc>
          <w:tcPr>
            <w:tcW w:w="3404" w:type="dxa"/>
            <w:shd w:val="clear" w:color="auto" w:fill="auto"/>
          </w:tcPr>
          <w:p w:rsidR="007C0256" w:rsidRDefault="007C0256">
            <w:pPr>
              <w:widowControl w:val="0"/>
              <w:spacing w:before="120" w:after="120"/>
              <w:ind w:left="720" w:firstLine="0"/>
              <w:rPr>
                <w:rFonts w:ascii="Arial" w:eastAsia="Arial" w:hAnsi="Arial"/>
                <w:b/>
                <w:sz w:val="24"/>
                <w:szCs w:val="24"/>
              </w:rPr>
            </w:pPr>
          </w:p>
        </w:tc>
        <w:tc>
          <w:tcPr>
            <w:tcW w:w="5622" w:type="dxa"/>
            <w:shd w:val="clear" w:color="auto" w:fill="auto"/>
          </w:tcPr>
          <w:p w:rsidR="007C0256" w:rsidRDefault="007C0256">
            <w:pPr>
              <w:widowControl w:val="0"/>
              <w:spacing w:before="120" w:after="120"/>
              <w:rPr>
                <w:rFonts w:ascii="Arial" w:eastAsia="Arial" w:hAnsi="Arial"/>
                <w:sz w:val="24"/>
                <w:szCs w:val="24"/>
              </w:rPr>
            </w:pPr>
          </w:p>
        </w:tc>
      </w:tr>
      <w:tr w:rsidR="007C0256">
        <w:tc>
          <w:tcPr>
            <w:tcW w:w="3404" w:type="dxa"/>
            <w:shd w:val="clear" w:color="auto" w:fill="auto"/>
          </w:tcPr>
          <w:p w:rsidR="007C0256" w:rsidRDefault="00B87DB4">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7C0256" w:rsidRDefault="00B87DB4">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7C0256">
        <w:tc>
          <w:tcPr>
            <w:tcW w:w="3404" w:type="dxa"/>
            <w:shd w:val="clear" w:color="auto" w:fill="auto"/>
          </w:tcPr>
          <w:p w:rsidR="007C0256" w:rsidRDefault="00B87DB4">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7C0256" w:rsidRDefault="00B87DB4">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7C0256">
        <w:tc>
          <w:tcPr>
            <w:tcW w:w="3404" w:type="dxa"/>
            <w:shd w:val="clear" w:color="auto" w:fill="auto"/>
          </w:tcPr>
          <w:p w:rsidR="007C0256" w:rsidRDefault="00B87DB4">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rsidR="007C0256" w:rsidRDefault="00B87DB4">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7C0256">
        <w:tc>
          <w:tcPr>
            <w:tcW w:w="3404" w:type="dxa"/>
            <w:shd w:val="clear" w:color="auto" w:fill="auto"/>
          </w:tcPr>
          <w:p w:rsidR="007C0256" w:rsidRDefault="007C0256">
            <w:pPr>
              <w:widowControl w:val="0"/>
              <w:spacing w:before="120" w:after="120"/>
              <w:ind w:left="720" w:firstLine="0"/>
              <w:rPr>
                <w:rFonts w:ascii="Arial" w:eastAsia="Arial" w:hAnsi="Arial"/>
                <w:b/>
                <w:sz w:val="24"/>
                <w:szCs w:val="24"/>
              </w:rPr>
            </w:pPr>
          </w:p>
        </w:tc>
        <w:tc>
          <w:tcPr>
            <w:tcW w:w="5622" w:type="dxa"/>
            <w:shd w:val="clear" w:color="auto" w:fill="auto"/>
          </w:tcPr>
          <w:p w:rsidR="007C0256" w:rsidRDefault="007C0256">
            <w:pPr>
              <w:widowControl w:val="0"/>
              <w:numPr>
                <w:ilvl w:val="0"/>
                <w:numId w:val="11"/>
              </w:numPr>
              <w:tabs>
                <w:tab w:val="left" w:pos="695"/>
              </w:tabs>
              <w:spacing w:before="120" w:after="120"/>
              <w:ind w:left="743" w:hanging="709"/>
              <w:rPr>
                <w:rFonts w:ascii="Arial" w:eastAsia="Arial" w:hAnsi="Arial"/>
                <w:sz w:val="24"/>
                <w:szCs w:val="24"/>
              </w:rPr>
            </w:pPr>
          </w:p>
        </w:tc>
      </w:tr>
      <w:tr w:rsidR="007C0256">
        <w:tc>
          <w:tcPr>
            <w:tcW w:w="3404" w:type="dxa"/>
            <w:shd w:val="clear" w:color="auto" w:fill="auto"/>
          </w:tcPr>
          <w:p w:rsidR="007C0256" w:rsidRDefault="007C0256">
            <w:pPr>
              <w:widowControl w:val="0"/>
              <w:spacing w:before="120" w:after="120"/>
              <w:ind w:left="720" w:firstLine="0"/>
              <w:rPr>
                <w:rFonts w:ascii="Arial" w:eastAsia="Arial" w:hAnsi="Arial"/>
                <w:b/>
                <w:sz w:val="24"/>
                <w:szCs w:val="24"/>
              </w:rPr>
            </w:pPr>
          </w:p>
        </w:tc>
        <w:tc>
          <w:tcPr>
            <w:tcW w:w="5622" w:type="dxa"/>
            <w:shd w:val="clear" w:color="auto" w:fill="auto"/>
          </w:tcPr>
          <w:p w:rsidR="007C0256" w:rsidRDefault="007C0256">
            <w:pPr>
              <w:widowControl w:val="0"/>
              <w:numPr>
                <w:ilvl w:val="0"/>
                <w:numId w:val="11"/>
              </w:numPr>
              <w:tabs>
                <w:tab w:val="left" w:pos="695"/>
              </w:tabs>
              <w:spacing w:before="120" w:after="120"/>
              <w:ind w:left="695" w:hanging="646"/>
              <w:rPr>
                <w:rFonts w:ascii="Arial" w:eastAsia="Arial" w:hAnsi="Arial"/>
                <w:sz w:val="24"/>
                <w:szCs w:val="24"/>
              </w:rPr>
            </w:pPr>
          </w:p>
        </w:tc>
      </w:tr>
      <w:tr w:rsidR="007C0256">
        <w:tc>
          <w:tcPr>
            <w:tcW w:w="3404" w:type="dxa"/>
            <w:shd w:val="clear" w:color="auto" w:fill="auto"/>
          </w:tcPr>
          <w:p w:rsidR="007C0256" w:rsidRDefault="00B87DB4">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7C0256" w:rsidRDefault="00B87DB4">
            <w:pPr>
              <w:spacing w:before="120" w:after="120"/>
              <w:rPr>
                <w:rFonts w:ascii="Arial" w:eastAsia="Arial" w:hAnsi="Arial"/>
                <w:sz w:val="24"/>
                <w:szCs w:val="24"/>
              </w:rPr>
            </w:pPr>
            <w:r>
              <w:rPr>
                <w:rFonts w:ascii="Arial" w:eastAsia="Arial" w:hAnsi="Arial"/>
                <w:sz w:val="24"/>
                <w:szCs w:val="24"/>
              </w:rPr>
              <w:t>means the CSPS, NHSPS or LGPS.</w:t>
            </w:r>
          </w:p>
        </w:tc>
      </w:tr>
    </w:tbl>
    <w:p w:rsidR="007C0256" w:rsidRDefault="00B87DB4">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7C0256" w:rsidRDefault="00B87DB4">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7C0256" w:rsidRDefault="00B87DB4">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w:t>
      </w:r>
      <w:r>
        <w:rPr>
          <w:rFonts w:ascii="Arial" w:eastAsia="Arial" w:hAnsi="Arial"/>
          <w:color w:val="000000"/>
          <w:sz w:val="24"/>
          <w:szCs w:val="24"/>
        </w:rPr>
        <w:t>t to paragraph 5 of Annex D3: LGPS to be fully responsible for all other costs, contributions, payments and other amounts relating to its participation in the Statutory Schemes, including for the avoidance of doubt any exit payments and the costs of provid</w:t>
      </w:r>
      <w:r>
        <w:rPr>
          <w:rFonts w:ascii="Arial" w:eastAsia="Arial" w:hAnsi="Arial"/>
          <w:color w:val="000000"/>
          <w:sz w:val="24"/>
          <w:szCs w:val="24"/>
        </w:rPr>
        <w:t xml:space="preserve">ing any bond, indemnity or guarantee required in relation to such participation. </w:t>
      </w:r>
    </w:p>
    <w:p w:rsidR="007C0256" w:rsidRDefault="00B87DB4">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w:t>
      </w:r>
      <w:r>
        <w:rPr>
          <w:rFonts w:ascii="Arial" w:eastAsia="Arial" w:hAnsi="Arial"/>
          <w:color w:val="000000"/>
          <w:sz w:val="24"/>
          <w:szCs w:val="24"/>
        </w:rPr>
        <w:t>they remain continuously employed by the Supplier (or Subcontractor) at the Start Date, this Part D and its Annexes shall be modified accordingly so that the Supplier (or Subcontractor) shall comply with its requirements from the Start Date or, where it pr</w:t>
      </w:r>
      <w:r>
        <w:rPr>
          <w:rFonts w:ascii="Arial" w:eastAsia="Arial" w:hAnsi="Arial"/>
          <w:color w:val="000000"/>
          <w:sz w:val="24"/>
          <w:szCs w:val="24"/>
        </w:rPr>
        <w:t>eviously provided a Broadly Comparable pension scheme, from the date it is able to close accrual of its Broadly Comparable pension scheme (following appropriate consultation and contractual changes as appropriate) if later. The Supplier (or Sub- contractor</w:t>
      </w:r>
      <w:r>
        <w:rPr>
          <w:rFonts w:ascii="Arial" w:eastAsia="Arial" w:hAnsi="Arial"/>
          <w:color w:val="000000"/>
          <w:sz w:val="24"/>
          <w:szCs w:val="24"/>
        </w:rPr>
        <w:t>)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7C0256" w:rsidRDefault="00B87DB4">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bookmarkStart w:id="36" w:name="_GoBack"/>
      <w:bookmarkEnd w:id="36"/>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w:t>
      </w:r>
      <w:r>
        <w:rPr>
          <w:rFonts w:ascii="Arial" w:eastAsia="Arial" w:hAnsi="Arial"/>
          <w:color w:val="000000"/>
          <w:sz w:val="24"/>
          <w:szCs w:val="24"/>
        </w:rPr>
        <w:t xml:space="preserve">levant Transfer Date concerning the matters stated in this Part D without the consent in writing of the Buyer (such consent not to be unreasonably withheld or delayed);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w:t>
      </w:r>
      <w:r>
        <w:rPr>
          <w:rFonts w:ascii="Arial" w:eastAsia="Arial" w:hAnsi="Arial"/>
          <w:color w:val="000000"/>
          <w:sz w:val="24"/>
          <w:szCs w:val="24"/>
        </w:rPr>
        <w:t xml:space="preserve"> any current or former Fair Deal Eligible Employees arising on expiry or termination of the relevant Contract.</w:t>
      </w:r>
    </w:p>
    <w:p w:rsidR="007C0256" w:rsidRDefault="00B87DB4">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7C0256" w:rsidRDefault="00B87DB4">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rsidR="007C0256" w:rsidRDefault="00B87DB4">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rsidR="007C0256" w:rsidRDefault="00B87DB4">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7C0256" w:rsidRDefault="00B87DB4">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w:t>
      </w:r>
      <w:r>
        <w:rPr>
          <w:rFonts w:ascii="Arial" w:eastAsia="Arial" w:hAnsi="Arial"/>
          <w:color w:val="000000"/>
          <w:sz w:val="24"/>
          <w:szCs w:val="24"/>
        </w:rPr>
        <w:t>tractor) allowing anyone who is not an NHSPS Fair Deal  Employee to join or claim membership of the NHSPS at any time during the Term.</w:t>
      </w:r>
    </w:p>
    <w:p w:rsidR="007C0256" w:rsidRDefault="007C0256">
      <w:pPr>
        <w:pBdr>
          <w:top w:val="nil"/>
          <w:left w:val="nil"/>
          <w:bottom w:val="nil"/>
          <w:right w:val="nil"/>
          <w:between w:val="nil"/>
        </w:pBdr>
        <w:spacing w:before="120" w:after="120"/>
        <w:ind w:left="2214" w:hanging="1080"/>
        <w:rPr>
          <w:rFonts w:eastAsia="Calibri" w:cs="Calibri"/>
          <w:color w:val="000000"/>
        </w:rPr>
      </w:pP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7C0256" w:rsidRDefault="00B87DB4">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7C0256" w:rsidRDefault="00B87DB4">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7C0256" w:rsidRDefault="00B87DB4">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w:t>
      </w:r>
      <w:r>
        <w:rPr>
          <w:rFonts w:ascii="Arial Bold" w:eastAsia="Arial Bold" w:hAnsi="Arial Bold" w:cs="Arial Bold"/>
          <w:b/>
          <w:color w:val="000000"/>
          <w:sz w:val="24"/>
          <w:szCs w:val="24"/>
        </w:rPr>
        <w:t>ghts</w:t>
      </w:r>
    </w:p>
    <w:p w:rsidR="007C0256" w:rsidRDefault="00B87DB4">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w:t>
      </w:r>
      <w:r>
        <w:rPr>
          <w:rFonts w:ascii="Arial" w:eastAsia="Arial" w:hAnsi="Arial"/>
          <w:color w:val="000000"/>
          <w:sz w:val="24"/>
          <w:szCs w:val="24"/>
        </w:rPr>
        <w:t xml:space="preserve">r or it by the Supplier under this Part D, in his or her or its own right under section 1(1) of the CRTPA. </w:t>
      </w:r>
    </w:p>
    <w:p w:rsidR="007C0256" w:rsidRDefault="00B87DB4">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w:t>
      </w:r>
      <w:r>
        <w:rPr>
          <w:rFonts w:ascii="Arial" w:eastAsia="Arial" w:hAnsi="Arial"/>
          <w:color w:val="000000"/>
          <w:sz w:val="24"/>
          <w:szCs w:val="24"/>
        </w:rPr>
        <w:t>ave the right to enforce any obligation owed to them by the Subcontractor in his or her or its own right under section 1(1) of the CRTPA.</w:t>
      </w:r>
    </w:p>
    <w:p w:rsidR="007C0256" w:rsidRDefault="00B87DB4">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olor w:val="000000"/>
          <w:sz w:val="24"/>
          <w:szCs w:val="24"/>
        </w:rPr>
        <w:t>f the breach and requiring the Supplier to remedy it.</w:t>
      </w:r>
    </w:p>
    <w:p w:rsidR="007C0256" w:rsidRDefault="00B87DB4">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w:t>
      </w:r>
      <w:r>
        <w:rPr>
          <w:rFonts w:ascii="Arial" w:eastAsia="Arial" w:hAnsi="Arial"/>
          <w:color w:val="000000"/>
          <w:sz w:val="24"/>
          <w:szCs w:val="24"/>
        </w:rPr>
        <w:t xml:space="preserve">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olor w:val="000000"/>
          <w:sz w:val="24"/>
          <w:szCs w:val="24"/>
        </w:rPr>
        <w:t>eferences to the date of the transfer to the New Employer and references to "Fair Deal Employees" will become references to the Fair Deal Eligible Employees so transferred to the New Employer.</w:t>
      </w:r>
    </w:p>
    <w:p w:rsidR="007C0256" w:rsidRDefault="00B87DB4">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w:t>
      </w:r>
      <w:r>
        <w:rPr>
          <w:rFonts w:ascii="Arial" w:eastAsia="Arial" w:hAnsi="Arial"/>
          <w:color w:val="000000"/>
          <w:sz w:val="24"/>
          <w:szCs w:val="24"/>
        </w:rPr>
        <w:lastRenderedPageBreak/>
        <w:t>Eligible Employee that remains eligible for New Fair Deal protection following a Service Transfer.</w:t>
      </w:r>
    </w:p>
    <w:p w:rsidR="007C0256" w:rsidRDefault="007C025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7C0256" w:rsidRDefault="00B87DB4">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w:t>
      </w:r>
      <w:r>
        <w:rPr>
          <w:rFonts w:ascii="Arial" w:eastAsia="Arial" w:hAnsi="Arial"/>
          <w:color w:val="000000"/>
          <w:sz w:val="24"/>
          <w:szCs w:val="24"/>
        </w:rPr>
        <w:t xml:space="preserve">ion scheme (unless otherwise instructed by the Buyer);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w:t>
      </w:r>
      <w:r>
        <w:rPr>
          <w:rFonts w:ascii="Arial" w:eastAsia="Arial" w:hAnsi="Arial"/>
          <w:color w:val="000000"/>
          <w:sz w:val="24"/>
          <w:szCs w:val="24"/>
        </w:rPr>
        <w:t xml:space="preserve">and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w:t>
      </w:r>
      <w:r>
        <w:rPr>
          <w:rFonts w:ascii="Arial" w:eastAsia="Arial" w:hAnsi="Arial"/>
          <w:color w:val="000000"/>
          <w:sz w:val="24"/>
          <w:szCs w:val="24"/>
        </w:rPr>
        <w:t xml:space="preserve"> (and shall procure that any of its Subcontractors shall):</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w:t>
      </w:r>
      <w:r>
        <w:rPr>
          <w:rFonts w:ascii="Arial" w:eastAsia="Arial" w:hAnsi="Arial"/>
          <w:color w:val="000000"/>
          <w:sz w:val="24"/>
          <w:szCs w:val="24"/>
        </w:rPr>
        <w:t xml:space="preserve"> Relevant Transfer Date) covering all relevant Fair Deal Employees, as soon as it is able to do so before the Relevant Transfer Date (where possible) and in any event no later than seven (7) days after receipt of the certificate;</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w:t>
      </w:r>
      <w:r>
        <w:rPr>
          <w:rFonts w:ascii="Arial" w:eastAsia="Arial" w:hAnsi="Arial"/>
          <w:color w:val="000000"/>
          <w:sz w:val="24"/>
          <w:szCs w:val="24"/>
        </w:rPr>
        <w:t xml:space="preserve"> any debts arising under section 75 or 75A of the Pensions Act 1995;</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w:t>
      </w:r>
      <w:r>
        <w:rPr>
          <w:rFonts w:ascii="Arial" w:eastAsia="Arial" w:hAnsi="Arial"/>
          <w:color w:val="000000"/>
          <w:sz w:val="24"/>
          <w:szCs w:val="24"/>
        </w:rPr>
        <w:t>roadly Comparable pension scheme or the Actuary to the relevant Statutory Scheme  (as appropriate) and to provide all such co-operation and assistance with any other Actuary appointed by the Buyer (where applicable). This will be with a view to the bulk tr</w:t>
      </w:r>
      <w:r>
        <w:rPr>
          <w:rFonts w:ascii="Arial" w:eastAsia="Arial" w:hAnsi="Arial"/>
          <w:color w:val="000000"/>
          <w:sz w:val="24"/>
          <w:szCs w:val="24"/>
        </w:rPr>
        <w:t>ansfer terms providing day for day and/or pound for pound (as applicable) (or actuarially equivalent where there are benefit differences between the two schemes) credits in the Broadly Comparable pension scheme in respect of any Fair Deal Eligible Employee</w:t>
      </w:r>
      <w:r>
        <w:rPr>
          <w:rFonts w:ascii="Arial" w:eastAsia="Arial" w:hAnsi="Arial"/>
          <w:color w:val="000000"/>
          <w:sz w:val="24"/>
          <w:szCs w:val="24"/>
        </w:rPr>
        <w:t xml:space="preserv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Subcontr</w:t>
      </w:r>
      <w:r>
        <w:rPr>
          <w:rFonts w:ascii="Arial" w:eastAsia="Arial" w:hAnsi="Arial"/>
          <w:color w:val="000000"/>
          <w:sz w:val="24"/>
          <w:szCs w:val="24"/>
        </w:rPr>
        <w:t>actor and are still eligible for New Fair Deal protection in the event that the Supplier and/or Subcontractor's Broadly Comparable pension scheme is terminated. The relevant Fair Deal Eligible Employees must be given the option to transfer their accrued be</w:t>
      </w:r>
      <w:r>
        <w:rPr>
          <w:rFonts w:ascii="Arial" w:eastAsia="Arial" w:hAnsi="Arial"/>
          <w:color w:val="000000"/>
          <w:sz w:val="24"/>
          <w:szCs w:val="24"/>
        </w:rPr>
        <w:t xml:space="preserve">nefits from the previous Broadly Comparable pension scheme to the new Broadly Comparable pension scheme on day for day and/or pound for pound terms (as applicable) (or actuarially equivalent where there are benefit differences between the two schemes). </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provided a Broadly Comparable pension scheme pursuant to the provisions of this paragraph 10, the Supplier shall (and shall procure that any of its Subcontractors shall) prior to the termination of the relevant Contract:</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w:t>
      </w:r>
      <w:r>
        <w:rPr>
          <w:rFonts w:ascii="Arial" w:eastAsia="Arial" w:hAnsi="Arial"/>
          <w:color w:val="000000"/>
          <w:sz w:val="24"/>
          <w:szCs w:val="24"/>
        </w:rPr>
        <w:t xml:space="preserve"> all necessary arrangements to effect, in respect of any Fair Deal Eligible Employee that remains eligible for New Fair Deal protection, following a Service Transfer, the bulk transfer of past service from any such Broadly Comparable pension scheme into th</w:t>
      </w:r>
      <w:r>
        <w:rPr>
          <w:rFonts w:ascii="Arial" w:eastAsia="Arial" w:hAnsi="Arial"/>
          <w:color w:val="000000"/>
          <w:sz w:val="24"/>
          <w:szCs w:val="24"/>
        </w:rPr>
        <w:t>e Replacement Supplier’s Broadly Comparable pension scheme  (or the relevant Statutory Scheme if applicable). The bulk transfer terms provided shall be on a past service reserve basis which should be calculated allowing for projected final salary at the as</w:t>
      </w:r>
      <w:r>
        <w:rPr>
          <w:rFonts w:ascii="Arial" w:eastAsia="Arial" w:hAnsi="Arial"/>
          <w:color w:val="000000"/>
          <w:sz w:val="24"/>
          <w:szCs w:val="24"/>
        </w:rPr>
        <w:t>sumed date of retirement, leaving service or death (in the case of final salary benefits). The actuarial basis for this past service reserve basis should be aligned to the funding requirements of the Broadly Comparable pension scheme in place at the time t</w:t>
      </w:r>
      <w:r>
        <w:rPr>
          <w:rFonts w:ascii="Arial" w:eastAsia="Arial" w:hAnsi="Arial"/>
          <w:color w:val="000000"/>
          <w:sz w:val="24"/>
          <w:szCs w:val="24"/>
        </w:rPr>
        <w:t xml:space="preserve">he bulk transfer terms are offered. The bulk transfer terms shall be subject to an underpin </w:t>
      </w:r>
      <w:r>
        <w:rPr>
          <w:rFonts w:ascii="Arial" w:eastAsia="Arial" w:hAnsi="Arial"/>
          <w:color w:val="000000"/>
          <w:sz w:val="24"/>
          <w:szCs w:val="24"/>
        </w:rPr>
        <w:lastRenderedPageBreak/>
        <w:t>in relation to any service credits awarded in the Broadly Comparable pension scheme in accordance with paragraph 10.3.3 such that the element of the past service re</w:t>
      </w:r>
      <w:r>
        <w:rPr>
          <w:rFonts w:ascii="Arial" w:eastAsia="Arial" w:hAnsi="Arial"/>
          <w:color w:val="000000"/>
          <w:sz w:val="24"/>
          <w:szCs w:val="24"/>
        </w:rPr>
        <w:t>serve amount which relates to such service credits shall be no lower than that required by the bulk transfer terms that were agreed in accordance with paragraph 10.3.3 but using the last day of the Fair Deal Eligible Employees’ employment with the Supplier</w:t>
      </w:r>
      <w:r>
        <w:rPr>
          <w:rFonts w:ascii="Arial" w:eastAsia="Arial" w:hAnsi="Arial"/>
          <w:color w:val="000000"/>
          <w:sz w:val="24"/>
          <w:szCs w:val="24"/>
        </w:rPr>
        <w:t xml:space="preserve"> or Subcontractor (as appropriate) as the date used to determine the actuarial assumptions; and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w:t>
      </w:r>
      <w:r>
        <w:rPr>
          <w:rFonts w:ascii="Arial" w:eastAsia="Arial" w:hAnsi="Arial"/>
          <w:color w:val="000000"/>
          <w:sz w:val="24"/>
          <w:szCs w:val="24"/>
        </w:rPr>
        <w:t>dly Comparable pension scheme (or to the relevant Statutory Scheme if applicable)) than the transfer payment which would have been paid had paragraph 10.4.1 been complied with, the Supplier shall (or shall procure that the Subcontractor shall) pay the amou</w:t>
      </w:r>
      <w:r>
        <w:rPr>
          <w:rFonts w:ascii="Arial" w:eastAsia="Arial" w:hAnsi="Arial"/>
          <w:color w:val="000000"/>
          <w:sz w:val="24"/>
          <w:szCs w:val="24"/>
        </w:rPr>
        <w:t>nt of the difference to the Replacement Supplier’s Broadly Comparable pension scheme (or relevant Statutory Scheme if applicable) or as the Buyer shall otherwise direct. The Supplier shall indemnify the Buyer or the Replacement Supplier’s Broadly Comparabl</w:t>
      </w:r>
      <w:r>
        <w:rPr>
          <w:rFonts w:ascii="Arial" w:eastAsia="Arial" w:hAnsi="Arial"/>
          <w:color w:val="000000"/>
          <w:sz w:val="24"/>
          <w:szCs w:val="24"/>
        </w:rPr>
        <w:t>e pension scheme (or the relevant Statutory Scheme if applicable) (as the Buyer directs) for any failure to pay the difference as required under this paragraph.</w:t>
      </w:r>
    </w:p>
    <w:p w:rsidR="007C0256" w:rsidRDefault="007C0256">
      <w:pPr>
        <w:pBdr>
          <w:top w:val="nil"/>
          <w:left w:val="nil"/>
          <w:bottom w:val="nil"/>
          <w:right w:val="nil"/>
          <w:between w:val="nil"/>
        </w:pBdr>
        <w:tabs>
          <w:tab w:val="left" w:pos="993"/>
        </w:tabs>
        <w:spacing w:before="120" w:after="120"/>
        <w:ind w:left="720" w:hanging="720"/>
        <w:rPr>
          <w:rFonts w:eastAsia="Calibri" w:cs="Calibri"/>
          <w:color w:val="000000"/>
        </w:rPr>
      </w:pPr>
    </w:p>
    <w:p w:rsidR="007C0256" w:rsidRDefault="00B87DB4">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w:t>
      </w:r>
      <w:r>
        <w:rPr>
          <w:rFonts w:ascii="Arial" w:eastAsia="Arial" w:hAnsi="Arial"/>
          <w:color w:val="000000"/>
          <w:sz w:val="24"/>
          <w:szCs w:val="24"/>
        </w:rPr>
        <w:t>any of its Subcontractors shall):</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avoidance of doubt any debts arising under section 75 or 75A of the Pensions Act 1995;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still eligible for New Fa</w:t>
      </w:r>
      <w:r>
        <w:rPr>
          <w:rFonts w:ascii="Arial" w:eastAsia="Arial" w:hAnsi="Arial"/>
          <w:color w:val="000000"/>
          <w:sz w:val="24"/>
          <w:szCs w:val="24"/>
        </w:rPr>
        <w:t xml:space="preserve">ir Deal protection in the event that the Supplier and/or Subcontractor's Broadly Comparable pension scheme is closed </w:t>
      </w:r>
      <w:r>
        <w:rPr>
          <w:rFonts w:ascii="Arial" w:eastAsia="Arial" w:hAnsi="Arial"/>
          <w:color w:val="000000"/>
          <w:sz w:val="24"/>
          <w:szCs w:val="24"/>
        </w:rPr>
        <w:lastRenderedPageBreak/>
        <w:t xml:space="preserve">to future accrual and/or terminated. The relevant Fair Deal Eligible Employees must be given the option to transfer their accrued benefits </w:t>
      </w:r>
      <w:r>
        <w:rPr>
          <w:rFonts w:ascii="Arial" w:eastAsia="Arial" w:hAnsi="Arial"/>
          <w:color w:val="000000"/>
          <w:sz w:val="24"/>
          <w:szCs w:val="24"/>
        </w:rPr>
        <w:t xml:space="preserve">from the previous Broadly Comparable pension scheme to the new Broadly Comparable pension scheme on day for day and/or pound for pound terms (as applicable) (or actuarially equivalent where there are benefit differences between the two schemes). </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w:t>
      </w:r>
      <w:r>
        <w:rPr>
          <w:rFonts w:ascii="Arial" w:eastAsia="Arial" w:hAnsi="Arial"/>
          <w:color w:val="000000"/>
          <w:sz w:val="24"/>
          <w:szCs w:val="24"/>
        </w:rPr>
        <w:t xml:space="preserve"> Supplier has provided a Broadly Comparable pension scheme pursuant to the provisions of this paragraph 11, the Supplier shall (and shall procure that any of its Subcontractors shall) prior to the termination of the relevant Contract allow and make all nec</w:t>
      </w:r>
      <w:r>
        <w:rPr>
          <w:rFonts w:ascii="Arial" w:eastAsia="Arial" w:hAnsi="Arial"/>
          <w:color w:val="000000"/>
          <w:sz w:val="24"/>
          <w:szCs w:val="24"/>
        </w:rPr>
        <w:t>essary arrangements to effect, in respect of any Fair Deal Eligible Employee that remains eligible for New Fair Deal protection, following a Service Transfer, the bulk transfer of past service from any such Broadly Comparable pension scheme into the Replac</w:t>
      </w:r>
      <w:r>
        <w:rPr>
          <w:rFonts w:ascii="Arial" w:eastAsia="Arial" w:hAnsi="Arial"/>
          <w:color w:val="000000"/>
          <w:sz w:val="24"/>
          <w:szCs w:val="24"/>
        </w:rPr>
        <w:t>ement Supplier’s Broadly Comparable pension scheme (or relevant Statutory Scheme if applicable). The bulk transfer terms provided shall be sufficient to secure day for day and/or pound for pound credits (as applicable) (or actuarially equivalent where ther</w:t>
      </w:r>
      <w:r>
        <w:rPr>
          <w:rFonts w:ascii="Arial" w:eastAsia="Arial" w:hAnsi="Arial"/>
          <w:color w:val="000000"/>
          <w:sz w:val="24"/>
          <w:szCs w:val="24"/>
        </w:rPr>
        <w:t xml:space="preserve">e are benefit differences between the two schemes) in the Replacement Supplier’s Broadly Comparable pension scheme (or relevant Statutory Scheme if applicable). For the avoidance of doubt, should the amount offered by the Broadly Comparable pension scheme </w:t>
      </w:r>
      <w:r>
        <w:rPr>
          <w:rFonts w:ascii="Arial" w:eastAsia="Arial" w:hAnsi="Arial"/>
          <w:color w:val="000000"/>
          <w:sz w:val="24"/>
          <w:szCs w:val="24"/>
        </w:rPr>
        <w:t>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w:t>
      </w:r>
      <w:r>
        <w:rPr>
          <w:rFonts w:ascii="Arial" w:eastAsia="Arial" w:hAnsi="Arial"/>
          <w:color w:val="000000"/>
          <w:sz w:val="24"/>
          <w:szCs w:val="24"/>
        </w:rPr>
        <w:t>t pay the Replacement Supplier’s Broadly Comparable pension scheme (or relevant Statutory Scheme if applicable) the Shortfall as required, provided that in the absence of any agreement between the Supplier and any Subcontractor, the Shortfall shall be paid</w:t>
      </w:r>
      <w:r>
        <w:rPr>
          <w:rFonts w:ascii="Arial" w:eastAsia="Arial" w:hAnsi="Arial"/>
          <w:color w:val="000000"/>
          <w:sz w:val="24"/>
          <w:szCs w:val="24"/>
        </w:rPr>
        <w:t xml:space="preserve"> by the Supplier. The Supplier shall indemnify the Buyer or the Replacement Supplier’s Broadly Comparable pension scheme (or the relevant Statutory Scheme if applicable) (as the Buyer directs) for any failure to pay the Shortfall under this paragraph. </w:t>
      </w:r>
    </w:p>
    <w:p w:rsidR="007C0256" w:rsidRDefault="00B87DB4">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 xml:space="preserve">any unpaid employer’s contributions or employee’s contributions or any other financial obligations under the </w:t>
      </w:r>
      <w:r>
        <w:rPr>
          <w:rFonts w:ascii="Arial" w:eastAsia="Arial" w:hAnsi="Arial"/>
          <w:color w:val="000000"/>
          <w:sz w:val="24"/>
          <w:szCs w:val="24"/>
        </w:rPr>
        <w:t>CSPS or any CSPS Admission Agreement in respect of the CSPS Eligible Employees whether due from the Supplier or from any relevant Subcontractor or due from any third party under any indemnity, bond or guarantee;</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w:t>
      </w:r>
      <w:r>
        <w:rPr>
          <w:rFonts w:ascii="Arial" w:eastAsia="Arial" w:hAnsi="Arial"/>
          <w:color w:val="000000"/>
          <w:sz w:val="24"/>
          <w:szCs w:val="24"/>
        </w:rPr>
        <w:t>yee’s contributions or any other financial obligations under the NHSPS or any Direction Letter/Determination in respect of the NHSPS Eligible Employees whether due from the Supplier or from any relevant Subcontractor or due from any third party under any i</w:t>
      </w:r>
      <w:r>
        <w:rPr>
          <w:rFonts w:ascii="Arial" w:eastAsia="Arial" w:hAnsi="Arial"/>
          <w:color w:val="000000"/>
          <w:sz w:val="24"/>
          <w:szCs w:val="24"/>
        </w:rPr>
        <w:t>ndemnity, bond or guarantee; or</w:t>
      </w:r>
    </w:p>
    <w:p w:rsidR="007C0256" w:rsidRDefault="00B87DB4">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w:t>
      </w:r>
      <w:r>
        <w:rPr>
          <w:rFonts w:ascii="Arial" w:eastAsia="Arial" w:hAnsi="Arial"/>
          <w:color w:val="000000"/>
          <w:sz w:val="24"/>
          <w:szCs w:val="24"/>
        </w:rPr>
        <w:t>m any relevant Subcontractor or due from any third party under any indemnity, bond or guarantee;</w:t>
      </w:r>
    </w:p>
    <w:p w:rsidR="007C0256" w:rsidRDefault="00B87DB4">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rsidR="007C0256" w:rsidRDefault="00B87DB4">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w:t>
      </w:r>
      <w:r>
        <w:rPr>
          <w:rFonts w:ascii="Arial" w:eastAsia="Arial" w:hAnsi="Arial"/>
          <w:color w:val="000000"/>
          <w:sz w:val="24"/>
          <w:szCs w:val="24"/>
        </w:rPr>
        <w:t>er the relevant Contract all reasonable costs and expenses incurred by the Buyer as result of Paragraphs 12.1 above.</w:t>
      </w:r>
    </w:p>
    <w:p w:rsidR="007C0256" w:rsidRDefault="00B87DB4">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7C0256" w:rsidRDefault="00B87DB4">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7C0256" w:rsidRDefault="00B87DB4">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7C0256" w:rsidRDefault="00B87DB4">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7C0256">
        <w:tc>
          <w:tcPr>
            <w:tcW w:w="2835" w:type="dxa"/>
          </w:tcPr>
          <w:p w:rsidR="007C0256" w:rsidRDefault="00B87DB4">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w:t>
            </w:r>
            <w:r>
              <w:rPr>
                <w:rFonts w:ascii="Arial" w:eastAsia="Arial" w:hAnsi="Arial"/>
                <w:sz w:val="24"/>
                <w:szCs w:val="24"/>
              </w:rPr>
              <w:t>ite immediately prior to the Relevant Transfer Date to be entered into for the CSPS in respect of the Services;</w:t>
            </w:r>
          </w:p>
        </w:tc>
      </w:tr>
      <w:tr w:rsidR="007C0256">
        <w:tc>
          <w:tcPr>
            <w:tcW w:w="2835" w:type="dxa"/>
          </w:tcPr>
          <w:p w:rsidR="007C0256" w:rsidRDefault="00B87DB4">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 xml:space="preserve">any CSPS Fair Deal Employee who at the relevant time is an active member or eligible to participate in the CSPS under </w:t>
            </w:r>
            <w:r>
              <w:rPr>
                <w:rFonts w:ascii="Arial" w:eastAsia="Arial" w:hAnsi="Arial"/>
                <w:sz w:val="24"/>
                <w:szCs w:val="24"/>
              </w:rPr>
              <w:t>a CSPS Admission Agreement;</w:t>
            </w:r>
          </w:p>
        </w:tc>
      </w:tr>
      <w:tr w:rsidR="007C0256">
        <w:tc>
          <w:tcPr>
            <w:tcW w:w="2835" w:type="dxa"/>
          </w:tcPr>
          <w:p w:rsidR="007C0256" w:rsidRDefault="00B87DB4">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7C0256">
        <w:tc>
          <w:tcPr>
            <w:tcW w:w="2835" w:type="dxa"/>
          </w:tcPr>
          <w:p w:rsidR="007C0256" w:rsidRDefault="00B87DB4">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rsidR="007C0256" w:rsidRDefault="00B87DB4">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7C0256" w:rsidRDefault="00B87DB4">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7C0256" w:rsidRDefault="00B87DB4">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olor w:val="000000"/>
          <w:sz w:val="24"/>
          <w:szCs w:val="24"/>
        </w:rPr>
        <w:t xml:space="preserve">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rsidR="007C0256" w:rsidRDefault="00B87DB4">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If the Supplier and/or any of its Subcontractors ente</w:t>
      </w:r>
      <w:r>
        <w:rPr>
          <w:rFonts w:ascii="Arial" w:eastAsia="Arial" w:hAnsi="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olor w:val="000000"/>
          <w:sz w:val="24"/>
          <w:szCs w:val="24"/>
        </w:rPr>
        <w:t xml:space="preserve">ased to participate in the CSPS in accordance with the provisions of paragraph 11 of Part D. </w:t>
      </w:r>
    </w:p>
    <w:p w:rsidR="007C0256" w:rsidRDefault="007C0256">
      <w:pPr>
        <w:rPr>
          <w:rFonts w:ascii="Arial" w:eastAsia="Arial" w:hAnsi="Arial"/>
          <w:sz w:val="24"/>
          <w:szCs w:val="24"/>
        </w:rPr>
      </w:pPr>
    </w:p>
    <w:p w:rsidR="007C0256" w:rsidRDefault="00B87DB4">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7C0256" w:rsidRDefault="00B87DB4">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7C0256" w:rsidRDefault="00B87DB4">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7"/>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7C0256">
        <w:tc>
          <w:tcPr>
            <w:tcW w:w="3397" w:type="dxa"/>
          </w:tcPr>
          <w:p w:rsidR="007C0256" w:rsidRDefault="00B87DB4">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w:t>
            </w:r>
            <w:r>
              <w:rPr>
                <w:rFonts w:ascii="Arial" w:eastAsia="Arial" w:hAnsi="Arial"/>
                <w:sz w:val="24"/>
                <w:szCs w:val="24"/>
              </w:rPr>
              <w:t>e Secretary of State in exercise of the powers conferred by section 7 of the Superannuation (Miscellaneous Provisions) Act 1967 or by section 25 of the Public Service Pensions Act 2013 (as appropriate) and issued to the Supplier or a Subcontractor of the S</w:t>
            </w:r>
            <w:r>
              <w:rPr>
                <w:rFonts w:ascii="Arial" w:eastAsia="Arial" w:hAnsi="Arial"/>
                <w:sz w:val="24"/>
                <w:szCs w:val="24"/>
              </w:rPr>
              <w:t>upplier (as appropriate) relating to the terms of participation of the Supplier or Subcontractor in the NHSPS in respect of the NHSPS Fair Deal Employees;</w:t>
            </w:r>
          </w:p>
        </w:tc>
      </w:tr>
      <w:tr w:rsidR="007C0256">
        <w:tc>
          <w:tcPr>
            <w:tcW w:w="3397" w:type="dxa"/>
          </w:tcPr>
          <w:p w:rsidR="007C0256" w:rsidRDefault="00B87DB4">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rsidR="007C0256" w:rsidRDefault="00B87DB4">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sz w:val="24"/>
                <w:szCs w:val="24"/>
              </w:rPr>
              <w:t>:</w:t>
            </w:r>
          </w:p>
          <w:p w:rsidR="007C0256" w:rsidRDefault="00B87DB4">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rsidR="007C0256" w:rsidRDefault="00B87DB4">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Letter/Determination or to a Broadly Comparable pension scheme in respect of their employment with that Former Supplier (on the basis that the</w:t>
            </w:r>
            <w:r>
              <w:rPr>
                <w:rFonts w:ascii="Arial" w:eastAsia="Arial" w:hAnsi="Arial"/>
                <w:sz w:val="24"/>
                <w:szCs w:val="24"/>
              </w:rPr>
              <w:t>y are entitled to protection under New Fair Deal (or previous guidance), having been formerly in employment with the Buyer, an NHS Body or other employer who participated automatically in the NHSPS in connection with the Services, prior to being employed b</w:t>
            </w:r>
            <w:r>
              <w:rPr>
                <w:rFonts w:ascii="Arial" w:eastAsia="Arial" w:hAnsi="Arial"/>
                <w:sz w:val="24"/>
                <w:szCs w:val="24"/>
              </w:rPr>
              <w:t>y the Former Supplier),</w:t>
            </w:r>
          </w:p>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 xml:space="preserve">Broadly </w:t>
            </w:r>
            <w:r>
              <w:rPr>
                <w:rFonts w:ascii="Arial" w:eastAsia="Arial" w:hAnsi="Arial"/>
                <w:sz w:val="24"/>
                <w:szCs w:val="24"/>
              </w:rPr>
              <w:t>Comparable to those provided under the NHSPS.</w:t>
            </w:r>
          </w:p>
        </w:tc>
      </w:tr>
      <w:tr w:rsidR="007C0256">
        <w:tc>
          <w:tcPr>
            <w:tcW w:w="3397" w:type="dxa"/>
          </w:tcPr>
          <w:p w:rsidR="007C0256" w:rsidRDefault="00B87DB4">
            <w:pPr>
              <w:spacing w:before="120" w:after="120"/>
              <w:ind w:left="720" w:firstLine="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any NHSPS Fair Deal Employee  who at the relevant time is an active member or eligible to participate in the NHSPS under a Direction Letter/Determination Letter.</w:t>
            </w:r>
          </w:p>
        </w:tc>
      </w:tr>
      <w:tr w:rsidR="007C0256">
        <w:tc>
          <w:tcPr>
            <w:tcW w:w="3397" w:type="dxa"/>
          </w:tcPr>
          <w:p w:rsidR="007C0256" w:rsidRDefault="00B87DB4">
            <w:pPr>
              <w:spacing w:before="120" w:after="120"/>
              <w:ind w:left="720" w:firstLine="0"/>
              <w:rPr>
                <w:rFonts w:ascii="Arial" w:eastAsia="Arial" w:hAnsi="Arial"/>
                <w:b/>
                <w:sz w:val="24"/>
                <w:szCs w:val="24"/>
              </w:rPr>
            </w:pPr>
            <w:r>
              <w:rPr>
                <w:rFonts w:ascii="Arial" w:eastAsia="Arial" w:hAnsi="Arial"/>
                <w:b/>
                <w:sz w:val="24"/>
                <w:szCs w:val="24"/>
              </w:rPr>
              <w:t>"NHSPS Fair Deal  E</w:t>
            </w:r>
            <w:r>
              <w:rPr>
                <w:rFonts w:ascii="Arial" w:eastAsia="Arial" w:hAnsi="Arial"/>
                <w:b/>
                <w:sz w:val="24"/>
                <w:szCs w:val="24"/>
              </w:rPr>
              <w:t>mployees"</w:t>
            </w: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other than the NHS Broadly Comparable Employees, each of the Fair Deal Employees who at a Relevant Transfer Date was a member of, or was entitled to become a member of, or but for their compulsory transfer of employment would have been entitled t</w:t>
            </w:r>
            <w:r>
              <w:rPr>
                <w:rFonts w:ascii="Arial" w:eastAsia="Arial" w:hAnsi="Arial"/>
                <w:sz w:val="24"/>
                <w:szCs w:val="24"/>
              </w:rPr>
              <w:t xml:space="preserve">o be or become a member of, the NHSPS as a result of either: </w:t>
            </w:r>
          </w:p>
        </w:tc>
      </w:tr>
      <w:tr w:rsidR="007C0256">
        <w:tc>
          <w:tcPr>
            <w:tcW w:w="3397" w:type="dxa"/>
          </w:tcPr>
          <w:p w:rsidR="007C0256" w:rsidRDefault="007C0256">
            <w:pPr>
              <w:spacing w:before="120" w:after="120"/>
              <w:ind w:left="720" w:firstLine="0"/>
              <w:rPr>
                <w:rFonts w:ascii="Arial" w:eastAsia="Arial" w:hAnsi="Arial"/>
                <w:b/>
                <w:sz w:val="24"/>
                <w:szCs w:val="24"/>
              </w:rPr>
            </w:pPr>
          </w:p>
        </w:tc>
        <w:tc>
          <w:tcPr>
            <w:tcW w:w="5629" w:type="dxa"/>
          </w:tcPr>
          <w:p w:rsidR="007C0256" w:rsidRDefault="00B87DB4">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7C0256">
        <w:tc>
          <w:tcPr>
            <w:tcW w:w="3397" w:type="dxa"/>
          </w:tcPr>
          <w:p w:rsidR="007C0256" w:rsidRDefault="007C0256">
            <w:pPr>
              <w:spacing w:before="120" w:after="120"/>
              <w:ind w:left="720" w:firstLine="0"/>
              <w:rPr>
                <w:rFonts w:ascii="Arial" w:eastAsia="Arial" w:hAnsi="Arial"/>
                <w:b/>
                <w:sz w:val="24"/>
                <w:szCs w:val="24"/>
              </w:rPr>
            </w:pPr>
          </w:p>
        </w:tc>
        <w:tc>
          <w:tcPr>
            <w:tcW w:w="5629" w:type="dxa"/>
          </w:tcPr>
          <w:p w:rsidR="007C0256" w:rsidRDefault="00B87DB4">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sz w:val="24"/>
                <w:szCs w:val="24"/>
              </w:rPr>
              <w:t xml:space="preserve"> t</w:t>
            </w:r>
            <w:r>
              <w:rPr>
                <w:rFonts w:ascii="Arial" w:eastAsia="Arial" w:hAnsi="Arial"/>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sz w:val="24"/>
                <w:szCs w:val="24"/>
              </w:rPr>
              <w:t>pplier),</w:t>
            </w:r>
          </w:p>
        </w:tc>
      </w:tr>
      <w:tr w:rsidR="007C0256">
        <w:tc>
          <w:tcPr>
            <w:tcW w:w="3397" w:type="dxa"/>
          </w:tcPr>
          <w:p w:rsidR="007C0256" w:rsidRDefault="007C0256">
            <w:pPr>
              <w:spacing w:before="120" w:after="120"/>
              <w:ind w:left="720" w:firstLine="0"/>
              <w:rPr>
                <w:rFonts w:ascii="Arial" w:eastAsia="Arial" w:hAnsi="Arial"/>
                <w:b/>
                <w:sz w:val="24"/>
                <w:szCs w:val="24"/>
              </w:rPr>
            </w:pP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7C0256">
        <w:tc>
          <w:tcPr>
            <w:tcW w:w="3397" w:type="dxa"/>
          </w:tcPr>
          <w:p w:rsidR="007C0256" w:rsidRDefault="007C0256">
            <w:pPr>
              <w:spacing w:before="120" w:after="120"/>
              <w:ind w:left="720" w:firstLine="0"/>
              <w:rPr>
                <w:rFonts w:ascii="Arial" w:eastAsia="Arial" w:hAnsi="Arial"/>
                <w:b/>
                <w:sz w:val="24"/>
                <w:szCs w:val="24"/>
              </w:rPr>
            </w:pP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For the avoidance of doubt, an individual who is in or entitled to become a member of the NHSPS as a result of being engaged in the Services and being covered by an "open" Direction Letter/ Determination or other NHSPS "access" facility but who has never b</w:t>
            </w:r>
            <w:r>
              <w:rPr>
                <w:rFonts w:ascii="Arial" w:eastAsia="Arial" w:hAnsi="Arial"/>
                <w:sz w:val="24"/>
                <w:szCs w:val="24"/>
              </w:rPr>
              <w:t xml:space="preserve">een employed directly by the Buyer, an NHS Body (or other body which participates automatically in the NHSPS) is not an NHSPS Fair Deal Employee;  </w:t>
            </w:r>
          </w:p>
        </w:tc>
      </w:tr>
      <w:tr w:rsidR="007C0256">
        <w:tc>
          <w:tcPr>
            <w:tcW w:w="3397" w:type="dxa"/>
          </w:tcPr>
          <w:p w:rsidR="007C0256" w:rsidRDefault="00B87DB4">
            <w:pPr>
              <w:spacing w:before="120" w:after="120"/>
              <w:ind w:left="993" w:firstLine="0"/>
              <w:rPr>
                <w:rFonts w:ascii="Arial" w:eastAsia="Arial" w:hAnsi="Arial"/>
                <w:b/>
                <w:sz w:val="24"/>
                <w:szCs w:val="24"/>
              </w:rPr>
            </w:pPr>
            <w:r>
              <w:rPr>
                <w:rFonts w:ascii="Arial" w:eastAsia="Arial" w:hAnsi="Arial"/>
                <w:b/>
                <w:sz w:val="24"/>
                <w:szCs w:val="24"/>
              </w:rPr>
              <w:lastRenderedPageBreak/>
              <w:t>"NHS Body"</w:t>
            </w: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has the meaning given to it in section 275 of the National Health Service Act 2006 as amended by</w:t>
            </w:r>
            <w:r>
              <w:rPr>
                <w:rFonts w:ascii="Arial" w:eastAsia="Arial" w:hAnsi="Arial"/>
                <w:sz w:val="24"/>
                <w:szCs w:val="24"/>
              </w:rPr>
              <w:t xml:space="preserve"> section 138(2)(c) of Schedule 4 to the Health and Social Care Act 2012; </w:t>
            </w:r>
          </w:p>
        </w:tc>
      </w:tr>
      <w:tr w:rsidR="007C0256">
        <w:tc>
          <w:tcPr>
            <w:tcW w:w="3397" w:type="dxa"/>
          </w:tcPr>
          <w:p w:rsidR="007C0256" w:rsidRDefault="00B87DB4">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7C0256">
        <w:tc>
          <w:tcPr>
            <w:tcW w:w="3397" w:type="dxa"/>
          </w:tcPr>
          <w:p w:rsidR="007C0256" w:rsidRDefault="00B87DB4">
            <w:pPr>
              <w:spacing w:before="120" w:after="120"/>
              <w:ind w:left="993" w:firstLine="0"/>
              <w:rPr>
                <w:rFonts w:ascii="Arial" w:eastAsia="Arial" w:hAnsi="Arial"/>
                <w:b/>
                <w:sz w:val="24"/>
                <w:szCs w:val="24"/>
              </w:rPr>
            </w:pPr>
            <w:r>
              <w:rPr>
                <w:rFonts w:ascii="Arial" w:eastAsia="Arial" w:hAnsi="Arial"/>
                <w:b/>
                <w:sz w:val="24"/>
                <w:szCs w:val="24"/>
              </w:rPr>
              <w:t>"NHSPS</w:t>
            </w:r>
            <w:r>
              <w:rPr>
                <w:rFonts w:ascii="Arial" w:eastAsia="Arial" w:hAnsi="Arial"/>
                <w:b/>
                <w:sz w:val="24"/>
                <w:szCs w:val="24"/>
              </w:rPr>
              <w:t>"</w:t>
            </w: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w:t>
            </w:r>
            <w:r>
              <w:rPr>
                <w:rFonts w:ascii="Arial" w:eastAsia="Arial" w:hAnsi="Arial"/>
                <w:sz w:val="24"/>
                <w:szCs w:val="24"/>
              </w:rPr>
              <w:t>s;</w:t>
            </w:r>
          </w:p>
        </w:tc>
      </w:tr>
      <w:tr w:rsidR="007C0256">
        <w:tc>
          <w:tcPr>
            <w:tcW w:w="3397" w:type="dxa"/>
          </w:tcPr>
          <w:p w:rsidR="007C0256" w:rsidRDefault="007C0256">
            <w:pPr>
              <w:spacing w:before="120" w:after="120"/>
              <w:ind w:left="993" w:firstLine="0"/>
              <w:rPr>
                <w:rFonts w:ascii="Arial" w:eastAsia="Arial" w:hAnsi="Arial"/>
                <w:b/>
                <w:sz w:val="24"/>
                <w:szCs w:val="24"/>
              </w:rPr>
            </w:pPr>
          </w:p>
        </w:tc>
        <w:tc>
          <w:tcPr>
            <w:tcW w:w="5629" w:type="dxa"/>
          </w:tcPr>
          <w:p w:rsidR="007C0256" w:rsidRDefault="007C0256">
            <w:pPr>
              <w:tabs>
                <w:tab w:val="left" w:pos="235"/>
              </w:tabs>
              <w:spacing w:before="120" w:after="120"/>
              <w:rPr>
                <w:rFonts w:ascii="Arial" w:eastAsia="Arial" w:hAnsi="Arial"/>
                <w:sz w:val="24"/>
                <w:szCs w:val="24"/>
              </w:rPr>
            </w:pPr>
          </w:p>
        </w:tc>
      </w:tr>
      <w:tr w:rsidR="007C0256">
        <w:tc>
          <w:tcPr>
            <w:tcW w:w="3397" w:type="dxa"/>
          </w:tcPr>
          <w:p w:rsidR="007C0256" w:rsidRDefault="00B87DB4">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 xml:space="preserve">as appropriate, any or all of the National Health Service Pension Scheme Regulations 1995 (SI 1995/300), the National Health Service Pension Scheme Regulations 2008 (SI 2008/653), the National Health Service Pension </w:t>
            </w:r>
            <w:r>
              <w:rPr>
                <w:rFonts w:ascii="Arial" w:eastAsia="Arial" w:hAnsi="Arial"/>
                <w:sz w:val="24"/>
                <w:szCs w:val="24"/>
              </w:rPr>
              <w:t>Scheme Regulations 2015 (2015/94) and any subsequent regulations made in respect of the NHSPS, each as amended from time to time;</w:t>
            </w:r>
          </w:p>
        </w:tc>
      </w:tr>
      <w:tr w:rsidR="007C0256">
        <w:tc>
          <w:tcPr>
            <w:tcW w:w="3397" w:type="dxa"/>
          </w:tcPr>
          <w:p w:rsidR="007C0256" w:rsidRDefault="00B87DB4">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rights to which any NHS Fair Deal Employee (had they remained in the employment of the Buyer, an NHS Body or other employer which participates automatically in the NHSPS) would have been or is entitled under the NHS Pension Scheme Regulations, the NHS Comp</w:t>
            </w:r>
            <w:r>
              <w:rPr>
                <w:rFonts w:ascii="Arial" w:eastAsia="Arial" w:hAnsi="Arial"/>
                <w:sz w:val="24"/>
                <w:szCs w:val="24"/>
              </w:rPr>
              <w:t>ensation for Premature Retirement Regulations 2002 (SI 2002/1311), the NHS (Injury Benefits) Regulations 1995 (SI 1995/866) and section 45 of the General Whitley Council conditions of service, or any other legislative or contractual provision which replace</w:t>
            </w:r>
            <w:r>
              <w:rPr>
                <w:rFonts w:ascii="Arial" w:eastAsia="Arial" w:hAnsi="Arial"/>
                <w:sz w:val="24"/>
                <w:szCs w:val="24"/>
              </w:rPr>
              <w:t xml:space="preserve">s, amends, extends or consolidates the same from time to time; </w:t>
            </w:r>
          </w:p>
        </w:tc>
      </w:tr>
      <w:tr w:rsidR="007C0256">
        <w:tc>
          <w:tcPr>
            <w:tcW w:w="3397" w:type="dxa"/>
          </w:tcPr>
          <w:p w:rsidR="007C0256" w:rsidRDefault="00B87DB4">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rsidR="007C0256" w:rsidRDefault="00B87DB4">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w:t>
            </w:r>
            <w:r>
              <w:rPr>
                <w:rFonts w:ascii="Arial" w:eastAsia="Arial" w:hAnsi="Arial"/>
                <w:sz w:val="24"/>
                <w:szCs w:val="24"/>
              </w:rPr>
              <w:lastRenderedPageBreak/>
              <w:t>invalidity or survivor’s bene</w:t>
            </w:r>
            <w:r>
              <w:rPr>
                <w:rFonts w:ascii="Arial" w:eastAsia="Arial" w:hAnsi="Arial"/>
                <w:sz w:val="24"/>
                <w:szCs w:val="24"/>
              </w:rPr>
              <w:t xml:space="preserve">fits provided under an occupational pension scheme. </w:t>
            </w:r>
          </w:p>
        </w:tc>
      </w:tr>
      <w:tr w:rsidR="007C0256">
        <w:tc>
          <w:tcPr>
            <w:tcW w:w="3397" w:type="dxa"/>
          </w:tcPr>
          <w:p w:rsidR="007C0256" w:rsidRDefault="007C0256">
            <w:pPr>
              <w:spacing w:before="120" w:after="120"/>
              <w:ind w:left="993" w:firstLine="0"/>
              <w:rPr>
                <w:rFonts w:ascii="Arial" w:eastAsia="Arial" w:hAnsi="Arial"/>
                <w:b/>
                <w:sz w:val="24"/>
                <w:szCs w:val="24"/>
              </w:rPr>
            </w:pPr>
          </w:p>
        </w:tc>
        <w:tc>
          <w:tcPr>
            <w:tcW w:w="5629" w:type="dxa"/>
          </w:tcPr>
          <w:p w:rsidR="007C0256" w:rsidRDefault="007C0256">
            <w:pPr>
              <w:tabs>
                <w:tab w:val="left" w:pos="235"/>
              </w:tabs>
              <w:spacing w:before="120" w:after="120"/>
              <w:rPr>
                <w:rFonts w:ascii="Arial" w:eastAsia="Arial" w:hAnsi="Arial"/>
                <w:sz w:val="24"/>
                <w:szCs w:val="24"/>
              </w:rPr>
            </w:pPr>
          </w:p>
        </w:tc>
      </w:tr>
    </w:tbl>
    <w:p w:rsidR="007C0256" w:rsidRDefault="00B87DB4">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w:t>
      </w:r>
      <w:r>
        <w:rPr>
          <w:rFonts w:ascii="Arial" w:eastAsia="Arial" w:hAnsi="Arial"/>
          <w:color w:val="000000"/>
          <w:sz w:val="24"/>
          <w:szCs w:val="24"/>
        </w:rPr>
        <w:t xml:space="preserve">her employer which participates automatically in the NHSPS, shall each secure a Direction Letter/Determination to enable the NHSPS Fair Deal Employees to retain either continuous active membership of or eligibility for the NHSPS for so long as they remain </w:t>
      </w:r>
      <w:r>
        <w:rPr>
          <w:rFonts w:ascii="Arial" w:eastAsia="Arial" w:hAnsi="Arial"/>
          <w:color w:val="000000"/>
          <w:sz w:val="24"/>
          <w:szCs w:val="24"/>
        </w:rPr>
        <w:t xml:space="preserve">employed in connection with the delivery of the Services under the relevant Contract. </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w:t>
      </w:r>
      <w:r>
        <w:rPr>
          <w:rFonts w:ascii="Arial" w:eastAsia="Arial" w:hAnsi="Arial"/>
          <w:color w:val="000000"/>
          <w:sz w:val="24"/>
          <w:szCs w:val="24"/>
        </w:rPr>
        <w:t>er must secure a Direction Letter/Determination as soon as possible after the Relevant Transfer Date, and in the period between the Relevant Transfer Date and the date the Direction Letter/Determination is secure, the Supplier must ensure that:</w:t>
      </w:r>
    </w:p>
    <w:p w:rsidR="007C0256" w:rsidRDefault="00B87DB4">
      <w:pPr>
        <w:pStyle w:val="Heading4"/>
        <w:numPr>
          <w:ilvl w:val="3"/>
          <w:numId w:val="18"/>
        </w:numPr>
        <w:rPr>
          <w:rFonts w:ascii="Arial" w:eastAsia="Arial" w:hAnsi="Arial"/>
          <w:sz w:val="24"/>
          <w:szCs w:val="24"/>
        </w:rPr>
      </w:pPr>
      <w:r>
        <w:rPr>
          <w:rFonts w:ascii="Arial" w:eastAsia="Arial" w:hAnsi="Arial"/>
          <w:sz w:val="24"/>
          <w:szCs w:val="24"/>
        </w:rPr>
        <w:t>all employe</w:t>
      </w:r>
      <w:r>
        <w:rPr>
          <w:rFonts w:ascii="Arial" w:eastAsia="Arial" w:hAnsi="Arial"/>
          <w:sz w:val="24"/>
          <w:szCs w:val="24"/>
        </w:rPr>
        <w:t>r's and NHSPS Fair Deal Employees' contributions intended to go to the NHSPS are kept in a separate bank account; and</w:t>
      </w:r>
    </w:p>
    <w:p w:rsidR="007C0256" w:rsidRDefault="00B87DB4">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 xml:space="preserve">The Supplier must supply to </w:t>
      </w:r>
      <w:r>
        <w:rPr>
          <w:rFonts w:ascii="Arial" w:eastAsia="Arial" w:hAnsi="Arial"/>
          <w:color w:val="000000"/>
          <w:sz w:val="24"/>
          <w:szCs w:val="24"/>
        </w:rPr>
        <w:t>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w:t>
      </w:r>
      <w:r>
        <w:rPr>
          <w:rFonts w:ascii="Arial" w:eastAsia="Arial" w:hAnsi="Arial"/>
          <w:color w:val="000000"/>
          <w:sz w:val="24"/>
          <w:szCs w:val="24"/>
        </w:rPr>
        <w:t>mbership or eligibility of that scheme under the terms of the Direction Letter/Determination.</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will (and will procure that its Subcontractors (if any) will) comply with the terms of the Direction Letter/Determination, the NHS Pension Scheme Reg</w:t>
      </w:r>
      <w:r>
        <w:rPr>
          <w:rFonts w:ascii="Arial" w:eastAsia="Arial" w:hAnsi="Arial"/>
          <w:color w:val="000000"/>
          <w:sz w:val="24"/>
          <w:szCs w:val="24"/>
        </w:rPr>
        <w:t>ulations (including any terms which change as a result of changes in Law) and any relevant policy issued by the Department of Health and Social Care in respect of the NHSPS Fair Deal Employees for so long as it remains bound by the terms of any such Direct</w:t>
      </w:r>
      <w:r>
        <w:rPr>
          <w:rFonts w:ascii="Arial" w:eastAsia="Arial" w:hAnsi="Arial"/>
          <w:color w:val="000000"/>
          <w:sz w:val="24"/>
          <w:szCs w:val="24"/>
        </w:rPr>
        <w:t xml:space="preserve">ion Letter/Determination. </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w:t>
      </w:r>
      <w:r>
        <w:rPr>
          <w:rFonts w:ascii="Arial" w:eastAsia="Arial" w:hAnsi="Arial"/>
          <w:color w:val="000000"/>
          <w:sz w:val="24"/>
          <w:szCs w:val="24"/>
        </w:rPr>
        <w:t>ntractors (if any) will) treat that person as if they had been an NHSPS Fair Deal Employee from the Relevant Transfer Date so that their Pension Benefits and NHS Premature Retirement Rights are not adversely affected.</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lastRenderedPageBreak/>
        <w:t>The Supplier will (and will procure th</w:t>
      </w:r>
      <w:r>
        <w:rPr>
          <w:rFonts w:ascii="Arial" w:eastAsia="Arial" w:hAnsi="Arial"/>
          <w:color w:val="000000"/>
          <w:sz w:val="24"/>
          <w:szCs w:val="24"/>
        </w:rPr>
        <w:t>at its Subcontractors (if any) will) Subcontractor provide any guarantee, bond or indemnity required by NHS Pensions in relation to a Direction Letter/Determination.</w:t>
      </w:r>
    </w:p>
    <w:p w:rsidR="007C0256" w:rsidRDefault="00B87DB4">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From the Relevant Transfer Date unt</w:t>
      </w:r>
      <w:r>
        <w:rPr>
          <w:rFonts w:ascii="Arial" w:eastAsia="Arial" w:hAnsi="Arial"/>
          <w:color w:val="000000"/>
          <w:sz w:val="24"/>
          <w:szCs w:val="24"/>
        </w:rPr>
        <w:t>il the Service Transfer Date, the Supplier must provide (and/or must ensure that its Subcontractors (if any) provide) NHS Premature Retirement Rights in respect of the NHSPS Fair Deal Employees that are identical to the benefits they would have received ha</w:t>
      </w:r>
      <w:r>
        <w:rPr>
          <w:rFonts w:ascii="Arial" w:eastAsia="Arial" w:hAnsi="Arial"/>
          <w:color w:val="000000"/>
          <w:sz w:val="24"/>
          <w:szCs w:val="24"/>
        </w:rPr>
        <w:t xml:space="preserve">d they remained employees of the Buyer, an NHS Body or other employer which participates automatically in the NHSPS. </w:t>
      </w:r>
    </w:p>
    <w:p w:rsidR="007C0256" w:rsidRDefault="00B87DB4">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procure that its Subcontractors shall), with effect from the Relevant Transfer Da</w:t>
      </w:r>
      <w:r>
        <w:rPr>
          <w:rFonts w:ascii="Arial" w:eastAsia="Arial" w:hAnsi="Arial"/>
          <w:color w:val="000000"/>
          <w:sz w:val="24"/>
          <w:szCs w:val="24"/>
        </w:rPr>
        <w:t>te, offer the NHSPS Broadly Comparable Employees membership of a pension scheme which is  Broadly Comparable to NHSPS on the Relevant Transfer Date in accordance with paragraph 10 of Part D. For the avoidance of doubt, this requirement is separate from any</w:t>
      </w:r>
      <w:r>
        <w:rPr>
          <w:rFonts w:ascii="Arial" w:eastAsia="Arial" w:hAnsi="Arial"/>
          <w:color w:val="000000"/>
          <w:sz w:val="24"/>
          <w:szCs w:val="24"/>
        </w:rPr>
        <w:t xml:space="preserve"> requirement to offer a Broadly Comparable pension scheme in accordance with paragraph 5.2 below.  </w:t>
      </w:r>
    </w:p>
    <w:p w:rsidR="007C0256" w:rsidRDefault="007C0256">
      <w:pPr>
        <w:ind w:left="357"/>
        <w:rPr>
          <w:rFonts w:ascii="Arial" w:eastAsia="Arial" w:hAnsi="Arial"/>
          <w:sz w:val="24"/>
          <w:szCs w:val="24"/>
        </w:rPr>
      </w:pPr>
    </w:p>
    <w:p w:rsidR="007C0256" w:rsidRDefault="00B87DB4">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w:t>
      </w:r>
      <w:r>
        <w:rPr>
          <w:rFonts w:ascii="Arial" w:eastAsia="Arial" w:hAnsi="Arial"/>
          <w:color w:val="000000"/>
          <w:sz w:val="24"/>
          <w:szCs w:val="24"/>
        </w:rPr>
        <w:t>ing, the Supplier shall notify the Buyer in the event that it (or its Subcontractor) breaches the terms of its Direction Letter/Determination.</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olor w:val="000000"/>
          <w:sz w:val="24"/>
          <w:szCs w:val="24"/>
        </w:rPr>
        <w:t>cordance with the provisions of paragraph 11 of Part D. Subcontractor.</w:t>
      </w:r>
    </w:p>
    <w:p w:rsidR="007C0256" w:rsidRDefault="00B87DB4">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7C0256" w:rsidRDefault="00B87DB4">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If the Supplier (or its Subcontractor, if relevant) is unable to provide the NHSPS Fair Deal Employees with either membership o</w:t>
      </w:r>
      <w:r>
        <w:rPr>
          <w:rFonts w:ascii="Arial" w:eastAsia="Arial" w:hAnsi="Arial"/>
          <w:color w:val="000000"/>
          <w:sz w:val="24"/>
          <w:szCs w:val="24"/>
        </w:rPr>
        <w:t xml:space="preserve">f: </w:t>
      </w:r>
    </w:p>
    <w:p w:rsidR="007C0256" w:rsidRDefault="00B87DB4">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rsidR="007C0256" w:rsidRDefault="00B87DB4">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rsidR="007C0256" w:rsidRDefault="00B87DB4">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rPr>
          <w:rFonts w:ascii="Arial" w:eastAsia="Arial" w:hAnsi="Arial"/>
          <w:sz w:val="24"/>
          <w:szCs w:val="24"/>
        </w:rPr>
        <w:t xml:space="preserve">a view to reaching </w:t>
      </w:r>
      <w:r>
        <w:rPr>
          <w:rFonts w:ascii="Arial" w:eastAsia="Arial" w:hAnsi="Arial"/>
          <w:sz w:val="24"/>
          <w:szCs w:val="24"/>
        </w:rPr>
        <w:lastRenderedPageBreak/>
        <w:t>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w:t>
      </w:r>
      <w:r>
        <w:rPr>
          <w:rFonts w:ascii="Arial" w:eastAsia="Arial" w:hAnsi="Arial"/>
          <w:sz w:val="24"/>
          <w:szCs w:val="24"/>
        </w:rPr>
        <w:t xml:space="preserve">l of compensation offered is reasonable in the circumstances.  </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7C0256" w:rsidRDefault="00B87DB4">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Indemnities that a Supplier </w:t>
      </w:r>
      <w:r>
        <w:rPr>
          <w:rFonts w:ascii="Arial Bold" w:eastAsia="Arial Bold" w:hAnsi="Arial Bold" w:cs="Arial Bold"/>
          <w:b/>
          <w:color w:val="000000"/>
          <w:sz w:val="24"/>
          <w:szCs w:val="24"/>
        </w:rPr>
        <w:t>must give</w:t>
      </w:r>
    </w:p>
    <w:p w:rsidR="007C0256" w:rsidRDefault="00B87DB4">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w:t>
      </w:r>
      <w:r>
        <w:rPr>
          <w:rFonts w:ascii="Arial" w:eastAsia="Arial" w:hAnsi="Arial"/>
          <w:color w:val="000000"/>
          <w:sz w:val="24"/>
          <w:szCs w:val="24"/>
        </w:rPr>
        <w:t xml:space="preserve"> to provide) Pension Benefits and NHS Premature Retirement Rights from the Relevant Transfer Date, or the level of such benefit provided, constitutes a breach of his or her employment rights.</w:t>
      </w:r>
    </w:p>
    <w:p w:rsidR="007C0256" w:rsidRDefault="00B87DB4">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7C0256" w:rsidRPr="00F13AF0" w:rsidRDefault="00B87DB4">
      <w:pPr>
        <w:spacing w:after="120"/>
        <w:rPr>
          <w:rFonts w:ascii="Arial Bold" w:eastAsia="Arial Bold" w:hAnsi="Arial Bold" w:cs="Arial Bold"/>
          <w:b/>
          <w:sz w:val="36"/>
          <w:szCs w:val="36"/>
        </w:rPr>
      </w:pPr>
      <w:r w:rsidRPr="00F13AF0">
        <w:rPr>
          <w:rFonts w:ascii="Arial Bold" w:eastAsia="Arial Bold" w:hAnsi="Arial Bold" w:cs="Arial Bold"/>
          <w:b/>
          <w:sz w:val="36"/>
          <w:szCs w:val="36"/>
        </w:rPr>
        <w:t>Local Government Pension Schemes (LGPS)</w:t>
      </w:r>
    </w:p>
    <w:p w:rsidR="007C0256" w:rsidRPr="00F13AF0" w:rsidRDefault="00B87DB4">
      <w:pPr>
        <w:rPr>
          <w:rFonts w:ascii="Arial" w:eastAsia="Arial" w:hAnsi="Arial"/>
          <w:b/>
          <w:sz w:val="24"/>
          <w:szCs w:val="24"/>
        </w:rPr>
      </w:pPr>
      <w:r w:rsidRPr="00F13AF0">
        <w:rPr>
          <w:rFonts w:ascii="Arial" w:eastAsia="Arial" w:hAnsi="Arial"/>
          <w:b/>
          <w:sz w:val="24"/>
          <w:szCs w:val="24"/>
        </w:rPr>
        <w:t xml:space="preserve">[Guidance: You should take specific legal advice on this Annex D3 and in particular the risk apportionment provisions contained herein. </w:t>
      </w:r>
    </w:p>
    <w:p w:rsidR="007C0256" w:rsidRPr="00F13AF0" w:rsidRDefault="00B87DB4">
      <w:pPr>
        <w:rPr>
          <w:b/>
          <w:sz w:val="24"/>
          <w:szCs w:val="24"/>
        </w:rPr>
      </w:pPr>
      <w:r w:rsidRPr="00F13AF0">
        <w:rPr>
          <w:rFonts w:ascii="Arial" w:eastAsia="Arial" w:hAnsi="Arial"/>
          <w:b/>
          <w:sz w:val="24"/>
          <w:szCs w:val="24"/>
        </w:rPr>
        <w:t>Please note that this Part D is drafted to reflect the requirements of New Fair Deal. Accordingly, where a contracting authority is a local authority (or other type of best value authority) then it will be subject to the requirements of the Best Value Auth</w:t>
      </w:r>
      <w:r w:rsidRPr="00F13AF0">
        <w:rPr>
          <w:rFonts w:ascii="Arial" w:eastAsia="Arial" w:hAnsi="Arial"/>
          <w:b/>
          <w:sz w:val="24"/>
          <w:szCs w:val="24"/>
        </w:rPr>
        <w:t>orities Staff Transfers (Pensions) Direction 2007 (or the Welsh Authorities Staff Transfers (Pensions) Direction 2012 if appropriate) and should take further specific legal advice to ensure compliance with those Directions.</w:t>
      </w:r>
      <w:r w:rsidRPr="00F13AF0">
        <w:rPr>
          <w:b/>
          <w:sz w:val="24"/>
          <w:szCs w:val="24"/>
        </w:rPr>
        <w:t xml:space="preserve">  </w:t>
      </w:r>
    </w:p>
    <w:p w:rsidR="007C0256" w:rsidRPr="00F13AF0" w:rsidRDefault="00B87DB4">
      <w:pPr>
        <w:rPr>
          <w:rFonts w:ascii="Arial" w:eastAsia="Arial" w:hAnsi="Arial"/>
          <w:sz w:val="24"/>
          <w:szCs w:val="24"/>
        </w:rPr>
      </w:pPr>
      <w:r w:rsidRPr="00F13AF0">
        <w:rPr>
          <w:rFonts w:ascii="Arial" w:eastAsia="Arial" w:hAnsi="Arial"/>
          <w:sz w:val="24"/>
          <w:szCs w:val="24"/>
        </w:rPr>
        <w:t xml:space="preserve">Note the LGPS unlike the CSPS </w:t>
      </w:r>
      <w:r w:rsidRPr="00F13AF0">
        <w:rPr>
          <w:rFonts w:ascii="Arial" w:eastAsia="Arial" w:hAnsi="Arial"/>
          <w:sz w:val="24"/>
          <w:szCs w:val="24"/>
        </w:rPr>
        <w:t>&amp; NHSPS is a funded scheme which has associated cost implications as follows:</w:t>
      </w:r>
    </w:p>
    <w:p w:rsidR="007C0256" w:rsidRPr="00F13AF0" w:rsidRDefault="00B87DB4">
      <w:pPr>
        <w:rPr>
          <w:rFonts w:ascii="Arial" w:eastAsia="Arial" w:hAnsi="Arial"/>
          <w:sz w:val="24"/>
          <w:szCs w:val="24"/>
        </w:rPr>
      </w:pPr>
      <w:r w:rsidRPr="00F13AF0">
        <w:rPr>
          <w:rFonts w:ascii="Arial" w:eastAsia="Arial" w:hAnsi="Arial"/>
          <w:sz w:val="24"/>
          <w:szCs w:val="24"/>
        </w:rPr>
        <w:t>There is not 1 LGPS but approx. 90 different Funds, each with their own separate Scheme Employer and Administering Buyer, it is important to identify the correct one(s) and amend</w:t>
      </w:r>
      <w:r w:rsidRPr="00F13AF0">
        <w:rPr>
          <w:rFonts w:ascii="Arial" w:eastAsia="Arial" w:hAnsi="Arial"/>
          <w:sz w:val="24"/>
          <w:szCs w:val="24"/>
        </w:rPr>
        <w:t xml:space="preserve"> the definition of "Fund" accordingly.</w:t>
      </w:r>
    </w:p>
    <w:p w:rsidR="007C0256" w:rsidRPr="00F13AF0" w:rsidRDefault="00B87DB4">
      <w:pPr>
        <w:rPr>
          <w:rFonts w:ascii="Arial" w:eastAsia="Arial" w:hAnsi="Arial"/>
          <w:sz w:val="24"/>
          <w:szCs w:val="24"/>
        </w:rPr>
      </w:pPr>
      <w:r w:rsidRPr="00F13AF0">
        <w:rPr>
          <w:rFonts w:ascii="Arial" w:eastAsia="Arial" w:hAnsi="Arial"/>
          <w:sz w:val="24"/>
          <w:szCs w:val="24"/>
        </w:rPr>
        <w:t>It is important to check whether CCS and or the Buyer can actually participate in the LGPS. Where a government department is taking on services which were formerly the responsibility of a Local Authority it may be nec</w:t>
      </w:r>
      <w:r w:rsidRPr="00F13AF0">
        <w:rPr>
          <w:rFonts w:ascii="Arial" w:eastAsia="Arial" w:hAnsi="Arial"/>
          <w:sz w:val="24"/>
          <w:szCs w:val="24"/>
        </w:rPr>
        <w:t xml:space="preserve">essary to obtain secretary of state approval for participation in the LGPS, this is because the services are being provided to Gov. Dept. and not to a Local Authority. </w:t>
      </w:r>
    </w:p>
    <w:p w:rsidR="007C0256" w:rsidRPr="00F13AF0" w:rsidRDefault="00B87DB4">
      <w:pPr>
        <w:rPr>
          <w:rFonts w:ascii="Arial" w:eastAsia="Arial" w:hAnsi="Arial"/>
          <w:sz w:val="24"/>
          <w:szCs w:val="24"/>
        </w:rPr>
      </w:pPr>
      <w:r w:rsidRPr="00F13AF0">
        <w:rPr>
          <w:rFonts w:ascii="Arial" w:eastAsia="Arial" w:hAnsi="Arial"/>
          <w:sz w:val="24"/>
          <w:szCs w:val="24"/>
        </w:rPr>
        <w:t xml:space="preserve">Unlike New Fair Deal the 2007 Best Value pension direction does not provide a right to </w:t>
      </w:r>
      <w:r w:rsidRPr="00F13AF0">
        <w:rPr>
          <w:rFonts w:ascii="Arial" w:eastAsia="Arial" w:hAnsi="Arial"/>
          <w:sz w:val="24"/>
          <w:szCs w:val="24"/>
        </w:rPr>
        <w:t>bulk transfer past service.  Whilst typically before the 2007 direction LA did provide such a right, it is a significant additional cost and therefore bulk transfer wording has been excluded.  If required take legal advice due to the exceptionally high cos</w:t>
      </w:r>
      <w:r w:rsidRPr="00F13AF0">
        <w:rPr>
          <w:rFonts w:ascii="Arial" w:eastAsia="Arial" w:hAnsi="Arial"/>
          <w:sz w:val="24"/>
          <w:szCs w:val="24"/>
        </w:rPr>
        <w:t>ts which can result from a requirement to provide bulk transfers.]</w:t>
      </w:r>
    </w:p>
    <w:p w:rsidR="007C0256" w:rsidRPr="00F13AF0" w:rsidRDefault="00B87DB4">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sidRPr="00F13AF0">
        <w:rPr>
          <w:rFonts w:ascii="Arial Bold" w:eastAsia="Arial Bold" w:hAnsi="Arial Bold" w:cs="Arial Bold"/>
          <w:b/>
          <w:color w:val="000000"/>
          <w:sz w:val="24"/>
          <w:szCs w:val="24"/>
        </w:rPr>
        <w:t>Definitions</w:t>
      </w:r>
    </w:p>
    <w:p w:rsidR="007C0256" w:rsidRPr="00F13AF0" w:rsidRDefault="00B87DB4">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sidRPr="00F13AF0">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8"/>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7C0256" w:rsidRPr="00F13AF0">
        <w:trPr>
          <w:trHeight w:val="653"/>
        </w:trPr>
        <w:tc>
          <w:tcPr>
            <w:tcW w:w="2635" w:type="dxa"/>
            <w:shd w:val="clear" w:color="auto" w:fill="auto"/>
          </w:tcPr>
          <w:p w:rsidR="007C0256" w:rsidRPr="00F13AF0" w:rsidRDefault="00B87DB4">
            <w:pPr>
              <w:ind w:left="720" w:firstLine="0"/>
              <w:rPr>
                <w:rFonts w:ascii="Arial" w:eastAsia="Arial" w:hAnsi="Arial"/>
                <w:b/>
                <w:sz w:val="24"/>
                <w:szCs w:val="24"/>
              </w:rPr>
            </w:pPr>
            <w:r w:rsidRPr="00F13AF0">
              <w:rPr>
                <w:rFonts w:ascii="Arial" w:eastAsia="Arial" w:hAnsi="Arial"/>
                <w:b/>
                <w:sz w:val="24"/>
                <w:szCs w:val="24"/>
              </w:rPr>
              <w:t>“2013 Regulations”</w:t>
            </w:r>
          </w:p>
        </w:tc>
        <w:tc>
          <w:tcPr>
            <w:tcW w:w="6391" w:type="dxa"/>
            <w:shd w:val="clear" w:color="auto" w:fill="auto"/>
          </w:tcPr>
          <w:p w:rsidR="007C0256" w:rsidRPr="00F13AF0" w:rsidRDefault="00B87DB4">
            <w:pPr>
              <w:rPr>
                <w:rFonts w:ascii="Arial" w:eastAsia="Arial" w:hAnsi="Arial"/>
                <w:sz w:val="24"/>
                <w:szCs w:val="24"/>
              </w:rPr>
            </w:pPr>
            <w:r w:rsidRPr="00F13AF0">
              <w:rPr>
                <w:rFonts w:ascii="Arial" w:eastAsia="Arial" w:hAnsi="Arial"/>
                <w:sz w:val="24"/>
                <w:szCs w:val="24"/>
              </w:rPr>
              <w:t>the Loca</w:t>
            </w:r>
            <w:r w:rsidRPr="00F13AF0">
              <w:rPr>
                <w:rFonts w:ascii="Arial" w:eastAsia="Arial" w:hAnsi="Arial"/>
                <w:sz w:val="24"/>
                <w:szCs w:val="24"/>
              </w:rPr>
              <w:t>l Government Pension Scheme Regulations 2013 (SI 2013/2356) (as amended from time to time);</w:t>
            </w:r>
          </w:p>
        </w:tc>
      </w:tr>
      <w:tr w:rsidR="007C0256" w:rsidRPr="00F13AF0">
        <w:trPr>
          <w:trHeight w:val="653"/>
        </w:trPr>
        <w:tc>
          <w:tcPr>
            <w:tcW w:w="2635" w:type="dxa"/>
            <w:shd w:val="clear" w:color="auto" w:fill="auto"/>
          </w:tcPr>
          <w:p w:rsidR="007C0256" w:rsidRPr="00F13AF0" w:rsidRDefault="00B87DB4">
            <w:pPr>
              <w:ind w:left="720" w:firstLine="0"/>
              <w:rPr>
                <w:rFonts w:ascii="Arial" w:eastAsia="Arial" w:hAnsi="Arial"/>
                <w:sz w:val="24"/>
                <w:szCs w:val="24"/>
              </w:rPr>
            </w:pPr>
            <w:r w:rsidRPr="00F13AF0">
              <w:rPr>
                <w:rFonts w:ascii="Arial" w:eastAsia="Arial" w:hAnsi="Arial"/>
                <w:sz w:val="24"/>
                <w:szCs w:val="24"/>
              </w:rPr>
              <w:t>"</w:t>
            </w:r>
            <w:r w:rsidRPr="00F13AF0">
              <w:rPr>
                <w:rFonts w:ascii="Arial" w:eastAsia="Arial" w:hAnsi="Arial"/>
                <w:b/>
                <w:sz w:val="24"/>
                <w:szCs w:val="24"/>
              </w:rPr>
              <w:t>Administering Buyer</w:t>
            </w:r>
            <w:r w:rsidRPr="00F13AF0">
              <w:rPr>
                <w:rFonts w:ascii="Arial" w:eastAsia="Arial" w:hAnsi="Arial"/>
                <w:sz w:val="24"/>
                <w:szCs w:val="24"/>
              </w:rPr>
              <w:t>"</w:t>
            </w:r>
          </w:p>
        </w:tc>
        <w:tc>
          <w:tcPr>
            <w:tcW w:w="6391" w:type="dxa"/>
            <w:shd w:val="clear" w:color="auto" w:fill="auto"/>
          </w:tcPr>
          <w:p w:rsidR="007C0256" w:rsidRPr="00F13AF0" w:rsidRDefault="00B87DB4">
            <w:pPr>
              <w:rPr>
                <w:rFonts w:ascii="Arial" w:eastAsia="Arial" w:hAnsi="Arial"/>
                <w:sz w:val="24"/>
                <w:szCs w:val="24"/>
              </w:rPr>
            </w:pPr>
            <w:r w:rsidRPr="00F13AF0">
              <w:rPr>
                <w:rFonts w:ascii="Arial" w:eastAsia="Arial" w:hAnsi="Arial"/>
                <w:sz w:val="24"/>
                <w:szCs w:val="24"/>
              </w:rPr>
              <w:t xml:space="preserve">in relation to </w:t>
            </w:r>
            <w:r w:rsidRPr="00F13AF0">
              <w:rPr>
                <w:rFonts w:ascii="Arial" w:eastAsia="Arial" w:hAnsi="Arial"/>
                <w:b/>
                <w:sz w:val="24"/>
                <w:szCs w:val="24"/>
              </w:rPr>
              <w:t>the Fund [insert name],</w:t>
            </w:r>
            <w:r w:rsidRPr="00F13AF0">
              <w:rPr>
                <w:rFonts w:ascii="Arial" w:eastAsia="Arial" w:hAnsi="Arial"/>
                <w:sz w:val="24"/>
                <w:szCs w:val="24"/>
              </w:rPr>
              <w:t>the relevant Administering Buyer of that Fund for the purposes of the 2013 Regulations;</w:t>
            </w:r>
          </w:p>
        </w:tc>
      </w:tr>
      <w:tr w:rsidR="007C0256" w:rsidRPr="00F13AF0">
        <w:trPr>
          <w:trHeight w:val="653"/>
        </w:trPr>
        <w:tc>
          <w:tcPr>
            <w:tcW w:w="2635" w:type="dxa"/>
            <w:shd w:val="clear" w:color="auto" w:fill="auto"/>
          </w:tcPr>
          <w:p w:rsidR="007C0256" w:rsidRPr="00F13AF0" w:rsidRDefault="00B87DB4">
            <w:pPr>
              <w:ind w:left="720" w:firstLine="0"/>
              <w:rPr>
                <w:rFonts w:ascii="Arial" w:eastAsia="Arial" w:hAnsi="Arial"/>
                <w:sz w:val="24"/>
                <w:szCs w:val="24"/>
              </w:rPr>
            </w:pPr>
            <w:r w:rsidRPr="00F13AF0">
              <w:rPr>
                <w:rFonts w:ascii="Arial" w:eastAsia="Arial" w:hAnsi="Arial"/>
                <w:sz w:val="24"/>
                <w:szCs w:val="24"/>
              </w:rPr>
              <w:t>"</w:t>
            </w:r>
            <w:r w:rsidRPr="00F13AF0">
              <w:rPr>
                <w:rFonts w:ascii="Arial" w:eastAsia="Arial" w:hAnsi="Arial"/>
                <w:b/>
                <w:sz w:val="24"/>
                <w:szCs w:val="24"/>
              </w:rPr>
              <w:t>Fund Actuary</w:t>
            </w:r>
            <w:r w:rsidRPr="00F13AF0">
              <w:rPr>
                <w:rFonts w:ascii="Arial" w:eastAsia="Arial" w:hAnsi="Arial"/>
                <w:sz w:val="24"/>
                <w:szCs w:val="24"/>
              </w:rPr>
              <w:t>"</w:t>
            </w:r>
          </w:p>
        </w:tc>
        <w:tc>
          <w:tcPr>
            <w:tcW w:w="6391" w:type="dxa"/>
            <w:shd w:val="clear" w:color="auto" w:fill="auto"/>
          </w:tcPr>
          <w:p w:rsidR="007C0256" w:rsidRPr="00F13AF0" w:rsidRDefault="00B87DB4">
            <w:pPr>
              <w:rPr>
                <w:rFonts w:ascii="Arial" w:eastAsia="Arial" w:hAnsi="Arial"/>
                <w:sz w:val="24"/>
                <w:szCs w:val="24"/>
              </w:rPr>
            </w:pPr>
            <w:r w:rsidRPr="00F13AF0">
              <w:rPr>
                <w:rFonts w:ascii="Arial" w:eastAsia="Arial" w:hAnsi="Arial"/>
                <w:sz w:val="24"/>
                <w:szCs w:val="24"/>
              </w:rPr>
              <w:t>the actuary to a Fund appointed by the Administering Buyer of that Fund;</w:t>
            </w:r>
          </w:p>
        </w:tc>
      </w:tr>
      <w:tr w:rsidR="007C0256" w:rsidRPr="00F13AF0">
        <w:trPr>
          <w:trHeight w:val="337"/>
        </w:trPr>
        <w:tc>
          <w:tcPr>
            <w:tcW w:w="2635" w:type="dxa"/>
            <w:shd w:val="clear" w:color="auto" w:fill="auto"/>
          </w:tcPr>
          <w:p w:rsidR="007C0256" w:rsidRPr="00F13AF0" w:rsidRDefault="00B87DB4">
            <w:pPr>
              <w:ind w:left="720" w:firstLine="0"/>
              <w:rPr>
                <w:rFonts w:ascii="Arial" w:eastAsia="Arial" w:hAnsi="Arial"/>
                <w:sz w:val="24"/>
                <w:szCs w:val="24"/>
              </w:rPr>
            </w:pPr>
            <w:r w:rsidRPr="00F13AF0">
              <w:rPr>
                <w:rFonts w:ascii="Arial" w:eastAsia="Arial" w:hAnsi="Arial"/>
                <w:sz w:val="24"/>
                <w:szCs w:val="24"/>
              </w:rPr>
              <w:t>"</w:t>
            </w:r>
            <w:r w:rsidRPr="00F13AF0">
              <w:rPr>
                <w:rFonts w:ascii="Arial" w:eastAsia="Arial" w:hAnsi="Arial"/>
                <w:b/>
                <w:sz w:val="24"/>
                <w:szCs w:val="24"/>
              </w:rPr>
              <w:t>Fund</w:t>
            </w:r>
            <w:r w:rsidRPr="00F13AF0">
              <w:rPr>
                <w:rFonts w:ascii="Arial" w:eastAsia="Arial" w:hAnsi="Arial"/>
                <w:sz w:val="24"/>
                <w:szCs w:val="24"/>
              </w:rPr>
              <w:t>"</w:t>
            </w:r>
          </w:p>
        </w:tc>
        <w:tc>
          <w:tcPr>
            <w:tcW w:w="6391" w:type="dxa"/>
            <w:shd w:val="clear" w:color="auto" w:fill="auto"/>
          </w:tcPr>
          <w:p w:rsidR="007C0256" w:rsidRPr="00F13AF0" w:rsidRDefault="00B87DB4">
            <w:pPr>
              <w:rPr>
                <w:rFonts w:ascii="Arial" w:eastAsia="Arial" w:hAnsi="Arial"/>
                <w:b/>
                <w:sz w:val="24"/>
                <w:szCs w:val="24"/>
              </w:rPr>
            </w:pPr>
            <w:r w:rsidRPr="00F13AF0">
              <w:rPr>
                <w:rFonts w:ascii="Arial" w:eastAsia="Arial" w:hAnsi="Arial"/>
                <w:b/>
                <w:sz w:val="24"/>
                <w:szCs w:val="24"/>
              </w:rPr>
              <w:t>[insert name], a pension fund within the LGPS;</w:t>
            </w:r>
          </w:p>
        </w:tc>
      </w:tr>
      <w:tr w:rsidR="007C0256" w:rsidRPr="00F13AF0">
        <w:trPr>
          <w:trHeight w:val="337"/>
        </w:trPr>
        <w:tc>
          <w:tcPr>
            <w:tcW w:w="2635" w:type="dxa"/>
            <w:shd w:val="clear" w:color="auto" w:fill="auto"/>
          </w:tcPr>
          <w:p w:rsidR="007C0256" w:rsidRPr="00F13AF0" w:rsidRDefault="00B87DB4">
            <w:pPr>
              <w:ind w:left="720" w:firstLine="0"/>
              <w:rPr>
                <w:rFonts w:ascii="Arial" w:eastAsia="Arial" w:hAnsi="Arial"/>
                <w:sz w:val="24"/>
                <w:szCs w:val="24"/>
              </w:rPr>
            </w:pPr>
            <w:r w:rsidRPr="00F13AF0">
              <w:rPr>
                <w:rFonts w:ascii="Arial" w:eastAsia="Arial" w:hAnsi="Arial"/>
                <w:b/>
                <w:sz w:val="24"/>
                <w:szCs w:val="24"/>
              </w:rPr>
              <w:lastRenderedPageBreak/>
              <w:t>[“Initial Contribution Rate”</w:t>
            </w:r>
            <w:r w:rsidRPr="00F13AF0">
              <w:rPr>
                <w:rFonts w:ascii="Arial" w:eastAsia="Arial" w:hAnsi="Arial"/>
                <w:b/>
                <w:sz w:val="24"/>
                <w:szCs w:val="24"/>
                <w:vertAlign w:val="superscript"/>
              </w:rPr>
              <w:footnoteReference w:id="6"/>
            </w:r>
            <w:r w:rsidRPr="00F13AF0">
              <w:rPr>
                <w:rFonts w:ascii="Arial" w:eastAsia="Arial" w:hAnsi="Arial"/>
                <w:b/>
                <w:sz w:val="24"/>
                <w:szCs w:val="24"/>
              </w:rPr>
              <w:t>]</w:t>
            </w:r>
          </w:p>
        </w:tc>
        <w:tc>
          <w:tcPr>
            <w:tcW w:w="6391" w:type="dxa"/>
            <w:shd w:val="clear" w:color="auto" w:fill="auto"/>
          </w:tcPr>
          <w:p w:rsidR="007C0256" w:rsidRPr="00F13AF0" w:rsidRDefault="00B87DB4">
            <w:pPr>
              <w:rPr>
                <w:rFonts w:ascii="Arial" w:eastAsia="Arial" w:hAnsi="Arial"/>
                <w:b/>
                <w:sz w:val="24"/>
                <w:szCs w:val="24"/>
              </w:rPr>
            </w:pPr>
            <w:r w:rsidRPr="00F13AF0">
              <w:rPr>
                <w:rFonts w:ascii="Arial" w:eastAsia="Arial" w:hAnsi="Arial"/>
                <w:sz w:val="24"/>
                <w:szCs w:val="24"/>
              </w:rPr>
              <w:t xml:space="preserve">[XX %] of pensionable pay (as defined in the 2013  Regulations);] </w:t>
            </w:r>
          </w:p>
        </w:tc>
      </w:tr>
      <w:tr w:rsidR="007C0256" w:rsidRPr="00F13AF0">
        <w:trPr>
          <w:trHeight w:val="1269"/>
        </w:trPr>
        <w:tc>
          <w:tcPr>
            <w:tcW w:w="2635" w:type="dxa"/>
            <w:shd w:val="clear" w:color="auto" w:fill="auto"/>
          </w:tcPr>
          <w:p w:rsidR="007C0256" w:rsidRPr="00F13AF0" w:rsidRDefault="00B87DB4">
            <w:pPr>
              <w:ind w:left="720" w:firstLine="0"/>
              <w:rPr>
                <w:rFonts w:ascii="Arial" w:eastAsia="Arial" w:hAnsi="Arial"/>
                <w:sz w:val="24"/>
                <w:szCs w:val="24"/>
              </w:rPr>
            </w:pPr>
            <w:r w:rsidRPr="00F13AF0">
              <w:rPr>
                <w:rFonts w:ascii="Arial" w:eastAsia="Arial" w:hAnsi="Arial"/>
                <w:sz w:val="24"/>
                <w:szCs w:val="24"/>
              </w:rPr>
              <w:t>"</w:t>
            </w:r>
            <w:r w:rsidRPr="00F13AF0">
              <w:rPr>
                <w:rFonts w:ascii="Arial" w:eastAsia="Arial" w:hAnsi="Arial"/>
                <w:b/>
                <w:sz w:val="24"/>
                <w:szCs w:val="24"/>
              </w:rPr>
              <w:t>LGPS</w:t>
            </w:r>
            <w:r w:rsidRPr="00F13AF0">
              <w:rPr>
                <w:rFonts w:ascii="Arial" w:eastAsia="Arial" w:hAnsi="Arial"/>
                <w:sz w:val="24"/>
                <w:szCs w:val="24"/>
              </w:rPr>
              <w:t>"</w:t>
            </w:r>
          </w:p>
        </w:tc>
        <w:tc>
          <w:tcPr>
            <w:tcW w:w="6391" w:type="dxa"/>
            <w:shd w:val="clear" w:color="auto" w:fill="auto"/>
          </w:tcPr>
          <w:p w:rsidR="007C0256" w:rsidRPr="00F13AF0" w:rsidRDefault="00B87DB4">
            <w:pPr>
              <w:rPr>
                <w:rFonts w:ascii="Arial" w:eastAsia="Arial" w:hAnsi="Arial"/>
                <w:sz w:val="24"/>
                <w:szCs w:val="24"/>
              </w:rPr>
            </w:pPr>
            <w:r w:rsidRPr="00F13AF0">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7C0256" w:rsidRPr="00F13AF0">
        <w:trPr>
          <w:trHeight w:val="990"/>
        </w:trPr>
        <w:tc>
          <w:tcPr>
            <w:tcW w:w="2635" w:type="dxa"/>
            <w:shd w:val="clear" w:color="auto" w:fill="auto"/>
          </w:tcPr>
          <w:p w:rsidR="007C0256" w:rsidRPr="00F13AF0" w:rsidRDefault="00B87DB4">
            <w:pPr>
              <w:ind w:left="720" w:firstLine="0"/>
              <w:rPr>
                <w:rFonts w:ascii="Arial" w:eastAsia="Arial" w:hAnsi="Arial"/>
                <w:sz w:val="24"/>
                <w:szCs w:val="24"/>
              </w:rPr>
            </w:pPr>
            <w:r w:rsidRPr="00F13AF0">
              <w:rPr>
                <w:rFonts w:ascii="Arial" w:eastAsia="Arial" w:hAnsi="Arial"/>
                <w:sz w:val="24"/>
                <w:szCs w:val="24"/>
              </w:rPr>
              <w:t>"</w:t>
            </w:r>
            <w:r w:rsidRPr="00F13AF0">
              <w:rPr>
                <w:rFonts w:ascii="Arial" w:eastAsia="Arial" w:hAnsi="Arial"/>
                <w:b/>
                <w:sz w:val="24"/>
                <w:szCs w:val="24"/>
              </w:rPr>
              <w:t>LGPS Admission Agreement</w:t>
            </w:r>
            <w:r w:rsidRPr="00F13AF0">
              <w:rPr>
                <w:rFonts w:ascii="Arial" w:eastAsia="Arial" w:hAnsi="Arial"/>
                <w:sz w:val="24"/>
                <w:szCs w:val="24"/>
              </w:rPr>
              <w:t>"</w:t>
            </w:r>
          </w:p>
        </w:tc>
        <w:tc>
          <w:tcPr>
            <w:tcW w:w="6391" w:type="dxa"/>
            <w:shd w:val="clear" w:color="auto" w:fill="auto"/>
          </w:tcPr>
          <w:p w:rsidR="007C0256" w:rsidRPr="00F13AF0" w:rsidRDefault="00B87DB4">
            <w:pPr>
              <w:rPr>
                <w:rFonts w:ascii="Arial" w:eastAsia="Arial" w:hAnsi="Arial"/>
                <w:sz w:val="24"/>
                <w:szCs w:val="24"/>
              </w:rPr>
            </w:pPr>
            <w:r w:rsidRPr="00F13AF0">
              <w:rPr>
                <w:rFonts w:ascii="Arial" w:eastAsia="Arial" w:hAnsi="Arial"/>
                <w:sz w:val="24"/>
                <w:szCs w:val="24"/>
              </w:rPr>
              <w:t>an ad</w:t>
            </w:r>
            <w:r w:rsidRPr="00F13AF0">
              <w:rPr>
                <w:rFonts w:ascii="Arial" w:eastAsia="Arial" w:hAnsi="Arial"/>
                <w:sz w:val="24"/>
                <w:szCs w:val="24"/>
              </w:rPr>
              <w:t>mission agreement within the meaning  in Schedule 1 of the  2013 Regulations;</w:t>
            </w:r>
          </w:p>
        </w:tc>
      </w:tr>
      <w:tr w:rsidR="007C0256" w:rsidRPr="00F13AF0">
        <w:trPr>
          <w:trHeight w:val="900"/>
        </w:trPr>
        <w:tc>
          <w:tcPr>
            <w:tcW w:w="2635" w:type="dxa"/>
            <w:shd w:val="clear" w:color="auto" w:fill="auto"/>
          </w:tcPr>
          <w:p w:rsidR="007C0256" w:rsidRPr="00F13AF0" w:rsidRDefault="00B87DB4">
            <w:pPr>
              <w:ind w:left="720" w:firstLine="0"/>
              <w:rPr>
                <w:rFonts w:ascii="Arial" w:eastAsia="Arial" w:hAnsi="Arial"/>
                <w:sz w:val="24"/>
                <w:szCs w:val="24"/>
              </w:rPr>
            </w:pPr>
            <w:r w:rsidRPr="00F13AF0">
              <w:rPr>
                <w:rFonts w:ascii="Arial" w:eastAsia="Arial" w:hAnsi="Arial"/>
                <w:sz w:val="24"/>
                <w:szCs w:val="24"/>
              </w:rPr>
              <w:t>"</w:t>
            </w:r>
            <w:r w:rsidRPr="00F13AF0">
              <w:rPr>
                <w:rFonts w:ascii="Arial" w:eastAsia="Arial" w:hAnsi="Arial"/>
                <w:b/>
                <w:sz w:val="24"/>
                <w:szCs w:val="24"/>
              </w:rPr>
              <w:t>LGPS Admission Body</w:t>
            </w:r>
            <w:r w:rsidRPr="00F13AF0">
              <w:rPr>
                <w:rFonts w:ascii="Arial" w:eastAsia="Arial" w:hAnsi="Arial"/>
                <w:sz w:val="24"/>
                <w:szCs w:val="24"/>
              </w:rPr>
              <w:t>"</w:t>
            </w:r>
          </w:p>
        </w:tc>
        <w:tc>
          <w:tcPr>
            <w:tcW w:w="6391" w:type="dxa"/>
            <w:shd w:val="clear" w:color="auto" w:fill="auto"/>
          </w:tcPr>
          <w:p w:rsidR="007C0256" w:rsidRPr="00F13AF0" w:rsidRDefault="00B87DB4">
            <w:pPr>
              <w:rPr>
                <w:rFonts w:ascii="Arial" w:eastAsia="Arial" w:hAnsi="Arial"/>
                <w:sz w:val="24"/>
                <w:szCs w:val="24"/>
              </w:rPr>
            </w:pPr>
            <w:r w:rsidRPr="00F13AF0">
              <w:rPr>
                <w:rFonts w:ascii="Arial" w:eastAsia="Arial" w:hAnsi="Arial"/>
                <w:sz w:val="24"/>
                <w:szCs w:val="24"/>
              </w:rPr>
              <w:t>an admission body (within the meaning of Part 3 of Schedule 2 of the 2013 Regulations);</w:t>
            </w:r>
          </w:p>
        </w:tc>
      </w:tr>
      <w:tr w:rsidR="007C0256" w:rsidRPr="00F13AF0">
        <w:trPr>
          <w:trHeight w:val="900"/>
        </w:trPr>
        <w:tc>
          <w:tcPr>
            <w:tcW w:w="2635" w:type="dxa"/>
            <w:shd w:val="clear" w:color="auto" w:fill="auto"/>
          </w:tcPr>
          <w:p w:rsidR="007C0256" w:rsidRPr="00F13AF0" w:rsidRDefault="00B87DB4">
            <w:pPr>
              <w:ind w:left="720" w:firstLine="0"/>
              <w:rPr>
                <w:rFonts w:ascii="Arial" w:eastAsia="Arial" w:hAnsi="Arial"/>
                <w:sz w:val="24"/>
                <w:szCs w:val="24"/>
              </w:rPr>
            </w:pPr>
            <w:r w:rsidRPr="00F13AF0">
              <w:rPr>
                <w:rFonts w:ascii="Arial" w:eastAsia="Arial" w:hAnsi="Arial"/>
                <w:sz w:val="24"/>
                <w:szCs w:val="24"/>
              </w:rPr>
              <w:t>"</w:t>
            </w:r>
            <w:r w:rsidRPr="00F13AF0">
              <w:rPr>
                <w:rFonts w:ascii="Arial" w:eastAsia="Arial" w:hAnsi="Arial"/>
                <w:b/>
                <w:sz w:val="24"/>
                <w:szCs w:val="24"/>
              </w:rPr>
              <w:t>LGPS Eligible Employees</w:t>
            </w:r>
            <w:r w:rsidRPr="00F13AF0">
              <w:rPr>
                <w:rFonts w:ascii="Arial" w:eastAsia="Arial" w:hAnsi="Arial"/>
                <w:sz w:val="24"/>
                <w:szCs w:val="24"/>
              </w:rPr>
              <w:t>"</w:t>
            </w:r>
          </w:p>
        </w:tc>
        <w:tc>
          <w:tcPr>
            <w:tcW w:w="6391" w:type="dxa"/>
            <w:shd w:val="clear" w:color="auto" w:fill="auto"/>
          </w:tcPr>
          <w:p w:rsidR="007C0256" w:rsidRPr="00F13AF0" w:rsidRDefault="00B87DB4">
            <w:pPr>
              <w:rPr>
                <w:rFonts w:ascii="Arial" w:eastAsia="Arial" w:hAnsi="Arial"/>
                <w:sz w:val="24"/>
                <w:szCs w:val="24"/>
              </w:rPr>
            </w:pPr>
            <w:r w:rsidRPr="00F13AF0">
              <w:rPr>
                <w:rFonts w:ascii="Arial" w:eastAsia="Arial" w:hAnsi="Arial"/>
                <w:sz w:val="24"/>
                <w:szCs w:val="24"/>
              </w:rPr>
              <w:t>any LGPS Fair Deal Employee who at the relevant time is an active member or eligible to participate in the LGPS under an LGPS Admission Agreement;</w:t>
            </w:r>
          </w:p>
        </w:tc>
      </w:tr>
      <w:tr w:rsidR="007C0256" w:rsidRPr="00F13AF0">
        <w:trPr>
          <w:trHeight w:val="900"/>
        </w:trPr>
        <w:tc>
          <w:tcPr>
            <w:tcW w:w="2635" w:type="dxa"/>
            <w:shd w:val="clear" w:color="auto" w:fill="auto"/>
          </w:tcPr>
          <w:p w:rsidR="007C0256" w:rsidRPr="00F13AF0" w:rsidRDefault="00B87DB4">
            <w:pPr>
              <w:ind w:left="720" w:firstLine="0"/>
              <w:rPr>
                <w:rFonts w:ascii="Arial" w:eastAsia="Arial" w:hAnsi="Arial"/>
                <w:sz w:val="24"/>
                <w:szCs w:val="24"/>
              </w:rPr>
            </w:pPr>
            <w:r w:rsidRPr="00F13AF0">
              <w:rPr>
                <w:rFonts w:ascii="Arial" w:eastAsia="Arial" w:hAnsi="Arial"/>
                <w:sz w:val="24"/>
                <w:szCs w:val="24"/>
              </w:rPr>
              <w:t>"</w:t>
            </w:r>
            <w:r w:rsidRPr="00F13AF0">
              <w:rPr>
                <w:rFonts w:ascii="Arial" w:eastAsia="Arial" w:hAnsi="Arial"/>
                <w:b/>
                <w:sz w:val="24"/>
                <w:szCs w:val="24"/>
              </w:rPr>
              <w:t>LGPS Fair Deal Employees</w:t>
            </w:r>
            <w:r w:rsidRPr="00F13AF0">
              <w:rPr>
                <w:rFonts w:ascii="Arial" w:eastAsia="Arial" w:hAnsi="Arial"/>
                <w:sz w:val="24"/>
                <w:szCs w:val="24"/>
              </w:rPr>
              <w:t>"</w:t>
            </w:r>
          </w:p>
        </w:tc>
        <w:tc>
          <w:tcPr>
            <w:tcW w:w="6391" w:type="dxa"/>
            <w:shd w:val="clear" w:color="auto" w:fill="auto"/>
          </w:tcPr>
          <w:p w:rsidR="007C0256" w:rsidRPr="00F13AF0" w:rsidRDefault="00B87DB4">
            <w:pPr>
              <w:rPr>
                <w:rFonts w:ascii="Arial" w:eastAsia="Arial" w:hAnsi="Arial"/>
                <w:sz w:val="24"/>
                <w:szCs w:val="24"/>
              </w:rPr>
            </w:pPr>
            <w:r w:rsidRPr="00F13AF0">
              <w:rPr>
                <w:rFonts w:ascii="Arial" w:eastAsia="Arial" w:hAnsi="Arial"/>
                <w:sz w:val="24"/>
                <w:szCs w:val="24"/>
              </w:rPr>
              <w:t>any Fair Deal Employee who at the Relevant Transfer Date is or becomes entitled t</w:t>
            </w:r>
            <w:r w:rsidRPr="00F13AF0">
              <w:rPr>
                <w:rFonts w:ascii="Arial" w:eastAsia="Arial" w:hAnsi="Arial"/>
                <w:sz w:val="24"/>
                <w:szCs w:val="24"/>
              </w:rPr>
              <w:t xml:space="preserve">o protection in respect of the LGPS or a pension scheme that is Broadly Comparable to the LGPS in accordance with the provisions in accordance with the provisions of New Fair Deal and/or the Best Value Direction; ; </w:t>
            </w:r>
          </w:p>
        </w:tc>
      </w:tr>
      <w:tr w:rsidR="007C0256" w:rsidRPr="00F13AF0">
        <w:trPr>
          <w:trHeight w:val="1665"/>
        </w:trPr>
        <w:tc>
          <w:tcPr>
            <w:tcW w:w="2635" w:type="dxa"/>
            <w:shd w:val="clear" w:color="auto" w:fill="auto"/>
          </w:tcPr>
          <w:p w:rsidR="007C0256" w:rsidRPr="00F13AF0" w:rsidRDefault="00B87DB4">
            <w:pPr>
              <w:spacing w:after="0"/>
              <w:ind w:left="720" w:firstLine="0"/>
              <w:rPr>
                <w:rFonts w:ascii="Arial" w:eastAsia="Arial" w:hAnsi="Arial"/>
                <w:sz w:val="24"/>
                <w:szCs w:val="24"/>
              </w:rPr>
            </w:pPr>
            <w:r w:rsidRPr="00F13AF0">
              <w:rPr>
                <w:rFonts w:ascii="Arial" w:eastAsia="Arial" w:hAnsi="Arial"/>
                <w:sz w:val="24"/>
                <w:szCs w:val="24"/>
              </w:rPr>
              <w:t>"</w:t>
            </w:r>
            <w:r w:rsidRPr="00F13AF0">
              <w:rPr>
                <w:rFonts w:ascii="Arial" w:eastAsia="Arial" w:hAnsi="Arial"/>
                <w:b/>
                <w:sz w:val="24"/>
                <w:szCs w:val="24"/>
              </w:rPr>
              <w:t>LGPS Regulations</w:t>
            </w:r>
            <w:r w:rsidRPr="00F13AF0">
              <w:rPr>
                <w:rFonts w:ascii="Arial" w:eastAsia="Arial" w:hAnsi="Arial"/>
                <w:sz w:val="24"/>
                <w:szCs w:val="24"/>
              </w:rPr>
              <w:t>"</w:t>
            </w:r>
          </w:p>
        </w:tc>
        <w:tc>
          <w:tcPr>
            <w:tcW w:w="6391" w:type="dxa"/>
            <w:shd w:val="clear" w:color="auto" w:fill="auto"/>
          </w:tcPr>
          <w:p w:rsidR="007C0256" w:rsidRPr="00F13AF0" w:rsidRDefault="00B87DB4">
            <w:pPr>
              <w:spacing w:after="0"/>
              <w:rPr>
                <w:rFonts w:ascii="Arial" w:eastAsia="Arial" w:hAnsi="Arial"/>
                <w:sz w:val="24"/>
                <w:szCs w:val="24"/>
              </w:rPr>
            </w:pPr>
            <w:r w:rsidRPr="00F13AF0">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w:t>
            </w:r>
            <w:r w:rsidRPr="00F13AF0">
              <w:rPr>
                <w:rFonts w:ascii="Arial" w:eastAsia="Arial" w:hAnsi="Arial"/>
                <w:sz w:val="24"/>
                <w:szCs w:val="24"/>
              </w:rPr>
              <w:t>e LGPS.</w:t>
            </w:r>
          </w:p>
        </w:tc>
      </w:tr>
    </w:tbl>
    <w:p w:rsidR="007C0256" w:rsidRPr="00F13AF0" w:rsidRDefault="007C0256">
      <w:pPr>
        <w:pStyle w:val="Heading2"/>
        <w:rPr>
          <w:rFonts w:ascii="Arial" w:eastAsia="Arial" w:hAnsi="Arial"/>
          <w:sz w:val="24"/>
          <w:szCs w:val="24"/>
        </w:rPr>
      </w:pPr>
    </w:p>
    <w:p w:rsidR="007C0256" w:rsidRPr="00F13AF0" w:rsidRDefault="00B87DB4">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sidRPr="00F13AF0">
        <w:rPr>
          <w:rFonts w:ascii="Arial Bold" w:eastAsia="Arial Bold" w:hAnsi="Arial Bold" w:cs="Arial Bold"/>
          <w:b/>
          <w:color w:val="000000"/>
          <w:sz w:val="24"/>
          <w:szCs w:val="24"/>
        </w:rPr>
        <w:t>Supplier to become an LGPS Admission Body</w:t>
      </w:r>
    </w:p>
    <w:p w:rsidR="007C0256" w:rsidRPr="00F13AF0" w:rsidRDefault="00B87DB4">
      <w:pPr>
        <w:numPr>
          <w:ilvl w:val="1"/>
          <w:numId w:val="12"/>
        </w:numPr>
        <w:tabs>
          <w:tab w:val="left" w:pos="720"/>
        </w:tabs>
        <w:ind w:left="708" w:hanging="708"/>
        <w:rPr>
          <w:rFonts w:ascii="Arial" w:eastAsia="Arial" w:hAnsi="Arial"/>
          <w:sz w:val="24"/>
          <w:szCs w:val="24"/>
        </w:rPr>
      </w:pPr>
      <w:r w:rsidRPr="00F13AF0">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sidRPr="00F13AF0">
        <w:rPr>
          <w:rFonts w:ascii="Arial" w:eastAsia="Arial" w:hAnsi="Arial"/>
          <w:sz w:val="24"/>
          <w:szCs w:val="24"/>
        </w:rPr>
        <w:t xml:space="preserve">Contract or a Relevant Transfer, if not a scheme employer which participates automatically in the LGPS, shall each become an LGPS Admission Body by entering into an LGPS Admission Agreement on or before the Relevant Transfer Date to enable the LGPS Fair </w:t>
      </w:r>
      <w:r w:rsidRPr="00F13AF0">
        <w:rPr>
          <w:rFonts w:ascii="Arial" w:eastAsia="Arial" w:hAnsi="Arial"/>
          <w:sz w:val="24"/>
          <w:szCs w:val="24"/>
        </w:rPr>
        <w:lastRenderedPageBreak/>
        <w:t>De</w:t>
      </w:r>
      <w:r w:rsidRPr="00F13AF0">
        <w:rPr>
          <w:rFonts w:ascii="Arial" w:eastAsia="Arial" w:hAnsi="Arial"/>
          <w:sz w:val="24"/>
          <w:szCs w:val="24"/>
        </w:rPr>
        <w:t>al Employees to retain either continuous active membership of or eligibility for the LGPS on and from the Relevant Transfer Date for so long as they remain employed in connection with the delivery of the Services under the relevant Contract.</w:t>
      </w:r>
    </w:p>
    <w:p w:rsidR="007C0256" w:rsidRPr="00F13AF0" w:rsidRDefault="00B87DB4">
      <w:pPr>
        <w:tabs>
          <w:tab w:val="left" w:pos="720"/>
        </w:tabs>
        <w:ind w:left="708"/>
        <w:rPr>
          <w:rFonts w:ascii="Arial" w:eastAsia="Arial" w:hAnsi="Arial"/>
          <w:b/>
          <w:sz w:val="24"/>
          <w:szCs w:val="24"/>
        </w:rPr>
      </w:pPr>
      <w:r w:rsidRPr="00F13AF0">
        <w:rPr>
          <w:rFonts w:ascii="Arial" w:eastAsia="Arial" w:hAnsi="Arial"/>
          <w:b/>
          <w:sz w:val="24"/>
          <w:szCs w:val="24"/>
        </w:rPr>
        <w:t>OPTION 1</w:t>
      </w:r>
      <w:r w:rsidRPr="00F13AF0">
        <w:rPr>
          <w:rFonts w:ascii="Arial" w:eastAsia="Arial" w:hAnsi="Arial"/>
          <w:b/>
          <w:sz w:val="24"/>
          <w:szCs w:val="24"/>
          <w:vertAlign w:val="superscript"/>
        </w:rPr>
        <w:footnoteReference w:id="7"/>
      </w:r>
      <w:r w:rsidRPr="00F13AF0">
        <w:rPr>
          <w:rFonts w:ascii="Arial" w:eastAsia="Arial" w:hAnsi="Arial"/>
          <w:b/>
          <w:sz w:val="24"/>
          <w:szCs w:val="24"/>
        </w:rPr>
        <w:t xml:space="preserve"> </w:t>
      </w:r>
    </w:p>
    <w:p w:rsidR="007C0256" w:rsidRPr="00F13AF0" w:rsidRDefault="00B87DB4">
      <w:pPr>
        <w:numPr>
          <w:ilvl w:val="1"/>
          <w:numId w:val="12"/>
        </w:numPr>
        <w:tabs>
          <w:tab w:val="left" w:pos="720"/>
        </w:tabs>
        <w:ind w:left="708" w:hanging="708"/>
        <w:rPr>
          <w:rFonts w:ascii="Arial" w:eastAsia="Arial" w:hAnsi="Arial"/>
          <w:sz w:val="24"/>
          <w:szCs w:val="24"/>
        </w:rPr>
      </w:pPr>
      <w:r w:rsidRPr="00F13AF0">
        <w:rPr>
          <w:rFonts w:ascii="Arial" w:eastAsia="Arial" w:hAnsi="Arial"/>
          <w:sz w:val="24"/>
          <w:szCs w:val="24"/>
        </w:rPr>
        <w:t>[An</w:t>
      </w:r>
      <w:r w:rsidRPr="00F13AF0">
        <w:rPr>
          <w:rFonts w:ascii="Arial" w:eastAsia="Arial" w:hAnsi="Arial"/>
          <w:sz w:val="24"/>
          <w:szCs w:val="24"/>
        </w:rPr>
        <w:t>y LGPS Fair Deal Employees who:</w:t>
      </w:r>
    </w:p>
    <w:p w:rsidR="007C0256" w:rsidRPr="00F13AF0" w:rsidRDefault="00B87DB4">
      <w:pPr>
        <w:numPr>
          <w:ilvl w:val="2"/>
          <w:numId w:val="12"/>
        </w:numPr>
        <w:tabs>
          <w:tab w:val="left" w:pos="720"/>
        </w:tabs>
        <w:ind w:hanging="720"/>
        <w:rPr>
          <w:rFonts w:ascii="Arial" w:eastAsia="Arial" w:hAnsi="Arial"/>
          <w:sz w:val="24"/>
          <w:szCs w:val="24"/>
        </w:rPr>
      </w:pPr>
      <w:r w:rsidRPr="00F13AF0">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7C0256" w:rsidRPr="00F13AF0" w:rsidRDefault="00B87DB4">
      <w:pPr>
        <w:numPr>
          <w:ilvl w:val="2"/>
          <w:numId w:val="12"/>
        </w:numPr>
        <w:tabs>
          <w:tab w:val="left" w:pos="720"/>
        </w:tabs>
        <w:ind w:hanging="720"/>
        <w:rPr>
          <w:rFonts w:ascii="Arial" w:eastAsia="Arial" w:hAnsi="Arial"/>
          <w:sz w:val="24"/>
          <w:szCs w:val="24"/>
        </w:rPr>
      </w:pPr>
      <w:r w:rsidRPr="00F13AF0">
        <w:rPr>
          <w:rFonts w:ascii="Arial" w:eastAsia="Arial" w:hAnsi="Arial"/>
          <w:sz w:val="24"/>
          <w:szCs w:val="24"/>
        </w:rPr>
        <w:t>were eligible to jo</w:t>
      </w:r>
      <w:r w:rsidRPr="00F13AF0">
        <w:rPr>
          <w:rFonts w:ascii="Arial" w:eastAsia="Arial" w:hAnsi="Arial"/>
          <w:sz w:val="24"/>
          <w:szCs w:val="24"/>
        </w:rPr>
        <w:t xml:space="preserve">in the LGPS (or a Broadly Comparable pension scheme) but were not active members of the LGPS (or a Broadly Comparable pension scheme) immediately before the Relevant Transfer Date shall retain the ability to join the LGPS on or after the Relevant Transfer </w:t>
      </w:r>
      <w:r w:rsidRPr="00F13AF0">
        <w:rPr>
          <w:rFonts w:ascii="Arial" w:eastAsia="Arial" w:hAnsi="Arial"/>
          <w:sz w:val="24"/>
          <w:szCs w:val="24"/>
        </w:rPr>
        <w:t>Date if they wish to do so. ]</w:t>
      </w:r>
    </w:p>
    <w:p w:rsidR="007C0256" w:rsidRPr="00F13AF0" w:rsidRDefault="00B87DB4">
      <w:pPr>
        <w:tabs>
          <w:tab w:val="left" w:pos="720"/>
        </w:tabs>
        <w:ind w:left="708"/>
        <w:rPr>
          <w:rFonts w:ascii="Arial" w:eastAsia="Arial" w:hAnsi="Arial"/>
          <w:b/>
          <w:sz w:val="24"/>
          <w:szCs w:val="24"/>
        </w:rPr>
      </w:pPr>
      <w:r w:rsidRPr="00F13AF0">
        <w:rPr>
          <w:rFonts w:ascii="Arial" w:eastAsia="Arial" w:hAnsi="Arial"/>
          <w:b/>
          <w:sz w:val="24"/>
          <w:szCs w:val="24"/>
        </w:rPr>
        <w:t>OPTION 2</w:t>
      </w:r>
    </w:p>
    <w:p w:rsidR="007C0256" w:rsidRPr="00F13AF0" w:rsidRDefault="00B87DB4">
      <w:pPr>
        <w:tabs>
          <w:tab w:val="left" w:pos="720"/>
        </w:tabs>
        <w:ind w:left="708"/>
        <w:rPr>
          <w:rFonts w:ascii="Arial" w:eastAsia="Arial" w:hAnsi="Arial"/>
          <w:sz w:val="24"/>
          <w:szCs w:val="24"/>
        </w:rPr>
      </w:pPr>
      <w:r w:rsidRPr="00F13AF0">
        <w:rPr>
          <w:rFonts w:ascii="Arial" w:eastAsia="Arial" w:hAnsi="Arial"/>
          <w:sz w:val="24"/>
          <w:szCs w:val="24"/>
        </w:rPr>
        <w:t>[Any LGPS Fair Deal Employees whether:</w:t>
      </w:r>
    </w:p>
    <w:p w:rsidR="007C0256" w:rsidRPr="00F13AF0" w:rsidRDefault="00B87DB4">
      <w:pPr>
        <w:numPr>
          <w:ilvl w:val="2"/>
          <w:numId w:val="12"/>
        </w:numPr>
        <w:pBdr>
          <w:top w:val="nil"/>
          <w:left w:val="nil"/>
          <w:bottom w:val="nil"/>
          <w:right w:val="nil"/>
          <w:between w:val="nil"/>
        </w:pBdr>
        <w:tabs>
          <w:tab w:val="left" w:pos="720"/>
        </w:tabs>
        <w:ind w:hanging="720"/>
        <w:rPr>
          <w:rFonts w:ascii="Arial" w:eastAsia="Arial" w:hAnsi="Arial"/>
          <w:color w:val="000000"/>
          <w:sz w:val="24"/>
          <w:szCs w:val="24"/>
        </w:rPr>
      </w:pPr>
      <w:r w:rsidRPr="00F13AF0">
        <w:rPr>
          <w:rFonts w:ascii="Arial" w:eastAsia="Arial" w:hAnsi="Arial"/>
          <w:color w:val="000000"/>
          <w:sz w:val="24"/>
          <w:szCs w:val="24"/>
        </w:rPr>
        <w:t xml:space="preserve">active members of the LGPS (or a Broadly Comparable pension scheme) immediately before the Relevant Transfer Date; or </w:t>
      </w:r>
    </w:p>
    <w:p w:rsidR="007C0256" w:rsidRPr="00F13AF0" w:rsidRDefault="00B87DB4">
      <w:pPr>
        <w:numPr>
          <w:ilvl w:val="2"/>
          <w:numId w:val="12"/>
        </w:numPr>
        <w:tabs>
          <w:tab w:val="left" w:pos="720"/>
        </w:tabs>
        <w:ind w:hanging="720"/>
        <w:rPr>
          <w:rFonts w:ascii="Arial" w:eastAsia="Arial" w:hAnsi="Arial"/>
          <w:sz w:val="24"/>
          <w:szCs w:val="24"/>
        </w:rPr>
      </w:pPr>
      <w:r w:rsidRPr="00F13AF0">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7C0256" w:rsidRPr="00F13AF0" w:rsidRDefault="00B87DB4">
      <w:pPr>
        <w:tabs>
          <w:tab w:val="left" w:pos="720"/>
        </w:tabs>
        <w:ind w:left="993"/>
        <w:rPr>
          <w:rFonts w:ascii="Arial" w:eastAsia="Arial" w:hAnsi="Arial"/>
          <w:sz w:val="24"/>
          <w:szCs w:val="24"/>
        </w:rPr>
      </w:pPr>
      <w:r w:rsidRPr="00F13AF0">
        <w:rPr>
          <w:rFonts w:ascii="Arial" w:eastAsia="Arial" w:hAnsi="Arial"/>
          <w:sz w:val="24"/>
          <w:szCs w:val="24"/>
        </w:rPr>
        <w:t>shall be admitted to the LGPS with effect on and from the Relevant Transfer Date. The Supplier shall not automatically enrol or re-enrol for the purposes of the Pensions Act 2008 any LGPS Fair Deal Employees in any pension scheme other than the LGPS unless</w:t>
      </w:r>
      <w:r w:rsidRPr="00F13AF0">
        <w:rPr>
          <w:rFonts w:ascii="Arial" w:eastAsia="Arial" w:hAnsi="Arial"/>
          <w:sz w:val="24"/>
          <w:szCs w:val="24"/>
        </w:rPr>
        <w:t xml:space="preserve"> they cease to be eligible for membership of the LGPS.] </w:t>
      </w:r>
    </w:p>
    <w:p w:rsidR="007C0256" w:rsidRPr="00F13AF0" w:rsidRDefault="00B87DB4">
      <w:pPr>
        <w:numPr>
          <w:ilvl w:val="1"/>
          <w:numId w:val="12"/>
        </w:numPr>
        <w:pBdr>
          <w:top w:val="nil"/>
          <w:left w:val="nil"/>
          <w:bottom w:val="nil"/>
          <w:right w:val="nil"/>
          <w:between w:val="nil"/>
        </w:pBdr>
        <w:tabs>
          <w:tab w:val="left" w:pos="720"/>
        </w:tabs>
        <w:ind w:left="708" w:hanging="712"/>
        <w:rPr>
          <w:rFonts w:ascii="Arial" w:eastAsia="Arial" w:hAnsi="Arial"/>
          <w:color w:val="000000"/>
          <w:sz w:val="24"/>
          <w:szCs w:val="24"/>
        </w:rPr>
      </w:pPr>
      <w:r w:rsidRPr="00F13AF0">
        <w:rPr>
          <w:rFonts w:ascii="Arial" w:eastAsia="Arial" w:hAnsi="Arial"/>
          <w:color w:val="000000"/>
          <w:sz w:val="24"/>
          <w:szCs w:val="24"/>
        </w:rPr>
        <w:t>The Supplier will (and will procure that its Subcontractors (if any) will) provide at its own cost any indemnity, bond or guarantee required by an Administering Buyer in relation to an LGPS Admission</w:t>
      </w:r>
      <w:r w:rsidRPr="00F13AF0">
        <w:rPr>
          <w:rFonts w:ascii="Arial" w:eastAsia="Arial" w:hAnsi="Arial"/>
          <w:color w:val="000000"/>
          <w:sz w:val="24"/>
          <w:szCs w:val="24"/>
        </w:rPr>
        <w:t xml:space="preserve"> Agreement.  </w:t>
      </w:r>
    </w:p>
    <w:p w:rsidR="007C0256" w:rsidRDefault="00B87DB4">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lastRenderedPageBreak/>
        <w:t>Broadly Comparable Scheme</w:t>
      </w:r>
    </w:p>
    <w:p w:rsidR="007C0256" w:rsidRDefault="00B87DB4">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 not allow it to participate in the Fund,  the</w:t>
      </w:r>
      <w:r>
        <w:rPr>
          <w:rFonts w:ascii="Arial" w:eastAsia="Arial" w:hAnsi="Arial"/>
          <w:sz w:val="24"/>
          <w:szCs w:val="24"/>
        </w:rPr>
        <w:t xml:space="preserve"> Supplier shall (and procure that its Subcontractors shall), with effect from the Relevant Transfer Date, offer the LGPS Fair Deal Employees membership of a pension scheme which is Broadly Comparable to LGPS on the Relevant Transfer Date in accordance with</w:t>
      </w:r>
      <w:r>
        <w:rPr>
          <w:rFonts w:ascii="Arial" w:eastAsia="Arial" w:hAnsi="Arial"/>
          <w:sz w:val="24"/>
          <w:szCs w:val="24"/>
        </w:rPr>
        <w:t xml:space="preserve"> the provisions of paragraph 10 of Part D. </w:t>
      </w:r>
    </w:p>
    <w:p w:rsidR="007C0256" w:rsidRDefault="00B87DB4">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w:t>
      </w:r>
      <w:r>
        <w:rPr>
          <w:rFonts w:ascii="Arial" w:eastAsia="Arial" w:hAnsi="Arial"/>
          <w:sz w:val="24"/>
          <w:szCs w:val="24"/>
        </w:rPr>
        <w:t xml:space="preserve"> reason at a time when the Supplier or Subcontractors still employs any LGPS Eligible Employees, the Supplier shall (and procure that its Subcontractors shall) at no extra cost to the Buyer, offer the remaining LGPS Eligible Employees membership of a pensi</w:t>
      </w:r>
      <w:r>
        <w:rPr>
          <w:rFonts w:ascii="Arial" w:eastAsia="Arial" w:hAnsi="Arial"/>
          <w:sz w:val="24"/>
          <w:szCs w:val="24"/>
        </w:rPr>
        <w:t>on scheme which is Broadly Comparable to the LGPS on the date the LGPS Eligible Employees ceased to participate in the LGPS in accordance with the provisions of paragraph 11 of Part D.</w:t>
      </w:r>
    </w:p>
    <w:p w:rsidR="007C0256" w:rsidRDefault="00B87DB4">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rsidR="007C0256" w:rsidRDefault="00B87DB4">
      <w:pPr>
        <w:pStyle w:val="Heading3"/>
        <w:ind w:left="720" w:hanging="10"/>
        <w:rPr>
          <w:rFonts w:ascii="Arial" w:eastAsia="Arial" w:hAnsi="Arial"/>
          <w:sz w:val="24"/>
          <w:szCs w:val="24"/>
        </w:rPr>
      </w:pPr>
      <w:r>
        <w:rPr>
          <w:rFonts w:ascii="Arial" w:eastAsia="Arial" w:hAnsi="Arial"/>
          <w:sz w:val="24"/>
          <w:szCs w:val="24"/>
        </w:rPr>
        <w:t>Where the Supplier and/or any of its Subcontract</w:t>
      </w:r>
      <w:r>
        <w:rPr>
          <w:rFonts w:ascii="Arial" w:eastAsia="Arial" w:hAnsi="Arial"/>
          <w:sz w:val="24"/>
          <w:szCs w:val="24"/>
        </w:rPr>
        <w:t>ors is an LGPS Admission Body, the Supplier shall (and procure that its Subcontractors shall) comply with its obligations under regulation 60 of the 2013 Regulations in relation to the preparation of a discretionary policy statement.</w:t>
      </w:r>
    </w:p>
    <w:p w:rsidR="007C0256" w:rsidRDefault="00B87DB4">
      <w:pPr>
        <w:rPr>
          <w:rFonts w:ascii="Arial" w:eastAsia="Arial" w:hAnsi="Arial"/>
          <w:sz w:val="24"/>
          <w:szCs w:val="24"/>
        </w:rPr>
      </w:pPr>
      <w:r>
        <w:rPr>
          <w:rFonts w:ascii="Arial" w:eastAsia="Arial" w:hAnsi="Arial"/>
          <w:sz w:val="24"/>
          <w:szCs w:val="24"/>
        </w:rPr>
        <w:t xml:space="preserve"> </w:t>
      </w:r>
    </w:p>
    <w:p w:rsidR="007C0256" w:rsidRDefault="00B87DB4">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7C0256" w:rsidRDefault="00B87DB4">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rsidR="007C0256" w:rsidRDefault="00B87DB4">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rsidR="007C0256" w:rsidRDefault="00B87DB4">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rsidR="007C0256" w:rsidRDefault="00B87DB4">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r>
      <w:r>
        <w:rPr>
          <w:rFonts w:ascii="Arial" w:eastAsia="Arial" w:hAnsi="Arial"/>
          <w:sz w:val="24"/>
          <w:szCs w:val="24"/>
        </w:rPr>
        <w:t>the amount of contributions or payments actually paid by the Supplier or Subcontractor for that Contract Year, as the case may be, to the Fund.</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w:t>
      </w:r>
      <w:r>
        <w:rPr>
          <w:rFonts w:ascii="Arial" w:eastAsia="Arial" w:hAnsi="Arial"/>
          <w:color w:val="000000"/>
          <w:sz w:val="24"/>
          <w:szCs w:val="24"/>
        </w:rPr>
        <w:t>tes and adjustment certificate under the LGPS Regulations and/or the terms of the LGPS Admission Agreement when the LGPS Admission Agreement ceases to have effect and the Supplier or any Subcontractor is required to pay any exit payment under Regulation 64</w:t>
      </w:r>
      <w:r>
        <w:rPr>
          <w:rFonts w:ascii="Arial" w:eastAsia="Arial" w:hAnsi="Arial"/>
          <w:color w:val="000000"/>
          <w:sz w:val="24"/>
          <w:szCs w:val="24"/>
        </w:rPr>
        <w:t>(2)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w:t>
      </w:r>
      <w:r>
        <w:rPr>
          <w:rFonts w:ascii="Arial" w:eastAsia="Arial" w:hAnsi="Arial"/>
          <w:color w:val="000000"/>
          <w:sz w:val="24"/>
          <w:szCs w:val="24"/>
        </w:rPr>
        <w:t>ible for the following costs:</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w:t>
      </w:r>
      <w:r>
        <w:rPr>
          <w:rFonts w:ascii="Arial" w:eastAsia="Arial" w:hAnsi="Arial"/>
          <w:color w:val="000000"/>
          <w:sz w:val="24"/>
          <w:szCs w:val="24"/>
        </w:rPr>
        <w: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w:t>
      </w:r>
      <w:r>
        <w:rPr>
          <w:rFonts w:ascii="Arial" w:eastAsia="Arial" w:hAnsi="Arial"/>
          <w:color w:val="000000"/>
          <w:sz w:val="24"/>
          <w:szCs w:val="24"/>
        </w:rPr>
        <w:t>d or body under Regulation 38 of the 2013 Regulations or otherwise;</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w:t>
      </w:r>
      <w:r>
        <w:rPr>
          <w:rFonts w:ascii="Arial" w:eastAsia="Arial" w:hAnsi="Arial"/>
          <w:color w:val="000000"/>
          <w:sz w:val="24"/>
          <w:szCs w:val="24"/>
        </w:rPr>
        <w:t xml:space="preserve"> the consent of the Supplier or any relevant Subcontractor including without limitation any decision made under Regulation 30(8) of the 2013 Regulations or Schedule 2 of The Local Government Pension Scheme (Transitional Provisions, Savings and Amendment) R</w:t>
      </w:r>
      <w:r>
        <w:rPr>
          <w:rFonts w:ascii="Arial" w:eastAsia="Arial" w:hAnsi="Arial"/>
          <w:color w:val="000000"/>
          <w:sz w:val="24"/>
          <w:szCs w:val="24"/>
        </w:rPr>
        <w:t>egulations 2014;</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w:t>
      </w:r>
      <w:r>
        <w:rPr>
          <w:rFonts w:ascii="Arial" w:eastAsia="Arial" w:hAnsi="Arial"/>
          <w:color w:val="000000"/>
          <w:sz w:val="24"/>
          <w:szCs w:val="24"/>
        </w:rPr>
        <w:t xml:space="preserve"> or otherwise;</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Subcontractors in respect of all or any of the LGPS Eligible </w:t>
      </w:r>
      <w:r>
        <w:rPr>
          <w:rFonts w:ascii="Arial" w:eastAsia="Arial" w:hAnsi="Arial"/>
          <w:color w:val="000000"/>
          <w:sz w:val="24"/>
          <w:szCs w:val="24"/>
        </w:rPr>
        <w:lastRenderedPageBreak/>
        <w:t xml:space="preserve">Employees in excess of the pay increases assumed in the Fund's </w:t>
      </w:r>
      <w:r>
        <w:rPr>
          <w:rFonts w:ascii="Arial" w:eastAsia="Arial" w:hAnsi="Arial"/>
          <w:color w:val="000000"/>
          <w:sz w:val="24"/>
          <w:szCs w:val="24"/>
        </w:rPr>
        <w:t>most recent actuarial valuation (unless the Supplier and/or any Subcontractor is contractually bound to provide such increases on the Relevant Transfer Date);</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w:t>
      </w:r>
      <w:r>
        <w:rPr>
          <w:rFonts w:ascii="Arial" w:eastAsia="Arial" w:hAnsi="Arial"/>
          <w:color w:val="000000"/>
          <w:sz w:val="24"/>
          <w:szCs w:val="24"/>
        </w:rPr>
        <w:t xml:space="preserve">e of any discretion or the grant of any consent under the LGPS Regulations by the Supplier or any relevant Subcontractors where a member does not have an absolute entitlement to that benefit under the LGPS; </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w:t>
      </w:r>
      <w:r>
        <w:rPr>
          <w:rFonts w:ascii="Arial" w:eastAsia="Arial" w:hAnsi="Arial"/>
          <w:color w:val="000000"/>
          <w:sz w:val="24"/>
          <w:szCs w:val="24"/>
        </w:rPr>
        <w:t xml:space="preserve">are not met through the Supplier's or Subcontractor’s employer contribution rate, including without limitation an amount specified in a notice given by the Administering Buyer under Regulation 70 of the 2013 Regulations; </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w:t>
      </w:r>
      <w:r>
        <w:rPr>
          <w:rFonts w:ascii="Arial" w:eastAsia="Arial" w:hAnsi="Arial"/>
          <w:color w:val="000000"/>
          <w:sz w:val="24"/>
          <w:szCs w:val="24"/>
        </w:rPr>
        <w:t>e requested by or arising  from an instruction given by the Supplier or a Subcontractor from the Fund Actuary; and/or</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w:t>
      </w:r>
      <w:r>
        <w:rPr>
          <w:rFonts w:ascii="Arial" w:eastAsia="Arial" w:hAnsi="Arial"/>
          <w:color w:val="000000"/>
          <w:sz w:val="24"/>
          <w:szCs w:val="24"/>
        </w:rPr>
        <w:t>rded and excluded from the calculation. In the event of any dispute as to level of any cost that should be excluded from the calculation, the opinion of the Fund Actuary shall be final and binding.</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w:t>
      </w:r>
      <w:r>
        <w:rPr>
          <w:rFonts w:ascii="Arial" w:eastAsia="Arial" w:hAnsi="Arial"/>
          <w:color w:val="000000"/>
          <w:sz w:val="24"/>
          <w:szCs w:val="24"/>
        </w:rPr>
        <w:t>on and a revised rates and adjustment certificate under the LGPS Regulations and/or the terms of the LGPS Admission Agreement when the LGPS Admission Agreement ceases to have effect and the Supplier or any Subcontractor receives payment of an exit credit p</w:t>
      </w:r>
      <w:r>
        <w:rPr>
          <w:rFonts w:ascii="Arial" w:eastAsia="Arial" w:hAnsi="Arial"/>
          <w:color w:val="000000"/>
          <w:sz w:val="24"/>
          <w:szCs w:val="24"/>
        </w:rPr>
        <w:t>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w:t>
      </w:r>
      <w:r>
        <w:rPr>
          <w:rFonts w:ascii="Arial" w:eastAsia="Arial" w:hAnsi="Arial"/>
          <w:color w:val="000000"/>
          <w:sz w:val="24"/>
          <w:szCs w:val="24"/>
        </w:rPr>
        <w:t>he Supplier shall (or procure that the Subcontractor shall) notify the Buyer in writing within twenty (20) Working Days:</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w:t>
      </w:r>
      <w:r>
        <w:rPr>
          <w:rFonts w:ascii="Arial" w:eastAsia="Arial" w:hAnsi="Arial"/>
          <w:color w:val="000000"/>
          <w:sz w:val="24"/>
          <w:szCs w:val="24"/>
        </w:rPr>
        <w:t>vide a reasonable summary of how the Excess Amount or Refund Amount was calculated; and</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w:t>
      </w:r>
      <w:r>
        <w:rPr>
          <w:rFonts w:ascii="Arial" w:eastAsia="Arial" w:hAnsi="Arial"/>
          <w:color w:val="000000"/>
          <w:sz w:val="24"/>
          <w:szCs w:val="24"/>
        </w:rPr>
        <w:t xml:space="preserve"> Exit Credit and its calculation.</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Within twenty (20) Working Days of receiving the notification under paragraph 5.7  above, the Buyer shall either:</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w:t>
      </w:r>
      <w:r>
        <w:rPr>
          <w:rFonts w:ascii="Arial" w:eastAsia="Arial" w:hAnsi="Arial"/>
          <w:color w:val="000000"/>
          <w:sz w:val="24"/>
          <w:szCs w:val="24"/>
        </w:rPr>
        <w:t>t further information or evidence about the Excess Amount, Refund Amount or Exit Payment from the Supplier; and/or</w:t>
      </w:r>
    </w:p>
    <w:p w:rsidR="007C0256" w:rsidRDefault="00B87DB4">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w:t>
      </w:r>
      <w:r>
        <w:rPr>
          <w:rFonts w:ascii="Arial" w:eastAsia="Arial" w:hAnsi="Arial"/>
          <w:color w:val="000000"/>
          <w:sz w:val="24"/>
          <w:szCs w:val="24"/>
        </w:rPr>
        <w:t>t Payment is agreed following the receipt of further information or evidence or following a meeting in accordance with paragraph 5.8 above, the Buyer shall notify the Supplier in writing.  In the event that the Supplier and the Buyer are unable to agree th</w:t>
      </w:r>
      <w:r>
        <w:rPr>
          <w:rFonts w:ascii="Arial" w:eastAsia="Arial" w:hAnsi="Arial"/>
          <w:color w:val="000000"/>
          <w:sz w:val="24"/>
          <w:szCs w:val="24"/>
        </w:rPr>
        <w:t xml:space="preserve">e amount of the Excess Amount, Refund Amount or Exit Payment then they shall follow the Dispute Resolution Procedure. </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Buyer or in accordance with the Dispute Resolution Procedure shall be paid by the Buyer w</w:t>
      </w:r>
      <w:r>
        <w:rPr>
          <w:rFonts w:ascii="Arial" w:eastAsia="Arial" w:hAnsi="Arial"/>
          <w:color w:val="000000"/>
          <w:sz w:val="24"/>
          <w:szCs w:val="24"/>
        </w:rPr>
        <w:t>ithin timescales as agreed between Buyer and Supplier. The amount to be paid by the Buyer shall be an amount equal to the Excess Amount or Exit Payment less an amount equal to any corporation tax relief which has been claimed in respect of the Excess Amoun</w:t>
      </w:r>
      <w:r>
        <w:rPr>
          <w:rFonts w:ascii="Arial" w:eastAsia="Arial" w:hAnsi="Arial"/>
          <w:color w:val="000000"/>
          <w:sz w:val="24"/>
          <w:szCs w:val="24"/>
        </w:rPr>
        <w:t xml:space="preserve">t or Exit Payment by the Supplier or a Subcontractor. </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w:t>
      </w:r>
      <w:r>
        <w:rPr>
          <w:rFonts w:ascii="Arial" w:eastAsia="Arial" w:hAnsi="Arial"/>
          <w:color w:val="000000"/>
          <w:sz w:val="24"/>
          <w:szCs w:val="24"/>
        </w:rPr>
        <w:t>ctor forthwith as the liability has been agreed. In the event the Supplier or any Subcontractor fails to pay any agreed Refund Amount, the Buyer shall demand in writing the immediate payment of the agreed Refund Amount by the Supplier and the Supplier shal</w:t>
      </w:r>
      <w:r>
        <w:rPr>
          <w:rFonts w:ascii="Arial" w:eastAsia="Arial" w:hAnsi="Arial"/>
          <w:color w:val="000000"/>
          <w:sz w:val="24"/>
          <w:szCs w:val="24"/>
        </w:rPr>
        <w:t>l make payment within seven (7) Working Days of such demand.</w:t>
      </w:r>
    </w:p>
    <w:p w:rsidR="007C0256" w:rsidRDefault="00B87DB4">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7C0256" w:rsidRDefault="007C0256">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7C0256" w:rsidRDefault="00B87DB4">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rsidR="007C0256" w:rsidRPr="00F13AF0" w:rsidRDefault="00B87DB4">
      <w:pPr>
        <w:rPr>
          <w:rFonts w:ascii="Arial" w:eastAsia="Arial" w:hAnsi="Arial"/>
          <w:b/>
          <w:sz w:val="24"/>
          <w:szCs w:val="24"/>
        </w:rPr>
      </w:pPr>
      <w:r w:rsidRPr="00F13AF0">
        <w:rPr>
          <w:rFonts w:ascii="Arial" w:eastAsia="Arial" w:hAnsi="Arial"/>
          <w:b/>
          <w:sz w:val="24"/>
          <w:szCs w:val="24"/>
        </w:rPr>
        <w:t xml:space="preserve"> [Guidance:</w:t>
      </w:r>
      <w:r w:rsidRPr="00F13AF0">
        <w:rPr>
          <w:rFonts w:ascii="Arial" w:eastAsia="Arial" w:hAnsi="Arial"/>
          <w:sz w:val="24"/>
          <w:szCs w:val="24"/>
        </w:rPr>
        <w:t xml:space="preserve"> </w:t>
      </w:r>
      <w:r w:rsidRPr="00F13AF0">
        <w:rPr>
          <w:rFonts w:ascii="Arial" w:eastAsia="Arial" w:hAnsi="Arial"/>
          <w:sz w:val="24"/>
          <w:szCs w:val="24"/>
        </w:rPr>
        <w:t>Placeholder for Pension Schemes other than LGPS, CSPS &amp; NHSPS]</w:t>
      </w:r>
    </w:p>
    <w:p w:rsidR="007C0256" w:rsidRPr="00F13AF0" w:rsidRDefault="00B87DB4">
      <w:pPr>
        <w:pBdr>
          <w:top w:val="nil"/>
          <w:left w:val="nil"/>
          <w:bottom w:val="nil"/>
          <w:right w:val="nil"/>
          <w:between w:val="nil"/>
        </w:pBdr>
        <w:spacing w:before="120" w:after="120"/>
        <w:rPr>
          <w:rFonts w:ascii="Arial Bold" w:eastAsia="Arial Bold" w:hAnsi="Arial Bold" w:cs="Arial Bold"/>
          <w:b/>
          <w:color w:val="000000"/>
          <w:sz w:val="36"/>
          <w:szCs w:val="36"/>
        </w:rPr>
      </w:pPr>
      <w:r w:rsidRPr="00F13AF0">
        <w:br w:type="page"/>
      </w:r>
      <w:r w:rsidRPr="00F13AF0">
        <w:rPr>
          <w:rFonts w:ascii="Arial Bold" w:eastAsia="Arial Bold" w:hAnsi="Arial Bold" w:cs="Arial Bold"/>
          <w:b/>
          <w:color w:val="000000"/>
          <w:sz w:val="36"/>
          <w:szCs w:val="36"/>
        </w:rPr>
        <w:lastRenderedPageBreak/>
        <w:t xml:space="preserve">Part E: Staff Transfer on Exit </w:t>
      </w:r>
    </w:p>
    <w:p w:rsidR="007C0256" w:rsidRPr="00F13AF0" w:rsidRDefault="00B87DB4">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sidRPr="00F13AF0">
        <w:rPr>
          <w:rFonts w:ascii="Arial Bold" w:eastAsia="Arial Bold" w:hAnsi="Arial Bold" w:cs="Arial Bold"/>
          <w:b/>
          <w:color w:val="000000"/>
          <w:sz w:val="24"/>
          <w:szCs w:val="24"/>
        </w:rPr>
        <w:t>Obligations before a Staff Transfer</w:t>
      </w:r>
    </w:p>
    <w:p w:rsidR="007C0256" w:rsidRPr="00F13AF0" w:rsidRDefault="00B87DB4">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sidRPr="00F13AF0">
        <w:rPr>
          <w:rFonts w:ascii="Arial" w:eastAsia="Arial" w:hAnsi="Arial"/>
          <w:color w:val="000000"/>
          <w:sz w:val="24"/>
          <w:szCs w:val="24"/>
        </w:rPr>
        <w:t>The Supplier agrees that within 20 Working Days of the earliest of:</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sidRPr="00F13AF0">
        <w:rPr>
          <w:rFonts w:ascii="Arial" w:eastAsia="Arial" w:hAnsi="Arial"/>
          <w:color w:val="000000"/>
          <w:sz w:val="24"/>
          <w:szCs w:val="24"/>
        </w:rPr>
        <w:t xml:space="preserve">receipt of a notification from the Buyer of a Service Transfer or intended Service Transfer;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sidRPr="00F13AF0">
        <w:rPr>
          <w:rFonts w:ascii="Arial" w:eastAsia="Arial" w:hAnsi="Arial"/>
          <w:color w:val="000000"/>
          <w:sz w:val="24"/>
          <w:szCs w:val="24"/>
        </w:rPr>
        <w:t xml:space="preserve">receipt of the giving of notice of early termination or any Partial Termination of the relevant Contract;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the date which is 12 Months before the end of the Term; and</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receipt of a written request of the Buyer at any time (provided that the Buyer shall only</w:t>
      </w:r>
      <w:r w:rsidRPr="00F13AF0">
        <w:rPr>
          <w:rFonts w:ascii="Arial" w:eastAsia="Arial" w:hAnsi="Arial"/>
          <w:color w:val="000000"/>
          <w:sz w:val="24"/>
          <w:szCs w:val="24"/>
        </w:rPr>
        <w:t xml:space="preserve"> be entitled to make one such request in any 6 Month period),</w:t>
      </w:r>
    </w:p>
    <w:p w:rsidR="007C0256" w:rsidRPr="00F13AF0" w:rsidRDefault="00B87DB4">
      <w:pPr>
        <w:pBdr>
          <w:top w:val="nil"/>
          <w:left w:val="nil"/>
          <w:bottom w:val="nil"/>
          <w:right w:val="nil"/>
          <w:between w:val="nil"/>
        </w:pBdr>
        <w:ind w:left="992"/>
        <w:rPr>
          <w:rFonts w:ascii="Arial" w:eastAsia="Arial" w:hAnsi="Arial"/>
          <w:color w:val="000000"/>
          <w:sz w:val="24"/>
          <w:szCs w:val="24"/>
        </w:rPr>
      </w:pPr>
      <w:r w:rsidRPr="00F13AF0">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w:t>
      </w:r>
      <w:r w:rsidRPr="00F13AF0">
        <w:rPr>
          <w:rFonts w:ascii="Arial" w:eastAsia="Arial" w:hAnsi="Arial"/>
          <w:color w:val="000000"/>
          <w:sz w:val="24"/>
          <w:szCs w:val="24"/>
        </w:rPr>
        <w:t xml:space="preserve">in relation to the Supplier's Provisional Supplier Personnel List and it shall provide an updated Supplier's Provisional Supplier Personnel List at such intervals as are reasonably requested by the Buyer.  </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sidRPr="00F13AF0">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sidRPr="00F13AF0">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The Buyer shall be per</w:t>
      </w:r>
      <w:r w:rsidRPr="00F13AF0">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The Supplier warrants, for the benefit of The Buyer, any Repla</w:t>
      </w:r>
      <w:r w:rsidRPr="00F13AF0">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From the date of the earliest event referred t</w:t>
      </w:r>
      <w:r w:rsidRPr="00F13AF0">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sidRPr="00F13AF0">
        <w:rPr>
          <w:rFonts w:ascii="Arial" w:eastAsia="Arial" w:hAnsi="Arial"/>
          <w:color w:val="000000"/>
          <w:sz w:val="24"/>
          <w:szCs w:val="24"/>
        </w:rPr>
        <w:t>t and shall not without the approval of the Buyer (not to be unreasonably withheld or delayed):</w:t>
      </w:r>
    </w:p>
    <w:p w:rsidR="007C0256" w:rsidRPr="00F13AF0" w:rsidRDefault="00B87DB4">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sidRPr="00F13AF0">
        <w:rPr>
          <w:rFonts w:ascii="Arial" w:eastAsia="Arial" w:hAnsi="Arial"/>
          <w:color w:val="000000"/>
          <w:sz w:val="24"/>
          <w:szCs w:val="24"/>
        </w:rPr>
        <w:t>:</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replace or re-deploy any Supplier Staff listed on the Supplier Provisional Supplier Personnel List other than where any replacement is of equivalent grade, sk</w:t>
      </w:r>
      <w:r w:rsidRPr="00F13AF0">
        <w:rPr>
          <w:rFonts w:ascii="Arial" w:eastAsia="Arial" w:hAnsi="Arial"/>
          <w:color w:val="000000"/>
          <w:sz w:val="24"/>
          <w:szCs w:val="24"/>
        </w:rPr>
        <w:t>ills, experience and expertise and is employed on the same terms and conditions of employment as the person he/she replaces</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lastRenderedPageBreak/>
        <w:t>make, promise, propose, permit or implement any material changes to the terms and conditions of employment of the Supplier Staff (in</w:t>
      </w:r>
      <w:r w:rsidRPr="00F13AF0">
        <w:rPr>
          <w:rFonts w:ascii="Arial" w:eastAsia="Arial" w:hAnsi="Arial"/>
          <w:color w:val="000000"/>
          <w:sz w:val="24"/>
          <w:szCs w:val="24"/>
        </w:rPr>
        <w:t xml:space="preserve">cluding pensions and any payments connected with the termination of employment);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sidRPr="00F13AF0">
        <w:rPr>
          <w:rFonts w:ascii="Arial" w:eastAsia="Arial" w:hAnsi="Arial"/>
          <w:color w:val="000000"/>
          <w:sz w:val="24"/>
          <w:szCs w:val="24"/>
        </w:rPr>
        <w:t xml:space="preserve"> previously scheduled and agreed;</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increase or reduce the total number of employees so engaged, or deploy any other person to perform the Services (or the relevant part of the Services);</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7C0256" w:rsidRPr="00F13AF0" w:rsidRDefault="00B87DB4">
      <w:pPr>
        <w:pBdr>
          <w:top w:val="nil"/>
          <w:left w:val="nil"/>
          <w:bottom w:val="nil"/>
          <w:right w:val="nil"/>
          <w:between w:val="nil"/>
        </w:pBdr>
        <w:tabs>
          <w:tab w:val="left" w:pos="993"/>
        </w:tabs>
        <w:spacing w:before="120" w:after="120"/>
        <w:ind w:left="720" w:hanging="720"/>
        <w:rPr>
          <w:rFonts w:eastAsia="Calibri" w:cs="Calibri"/>
          <w:color w:val="000000"/>
        </w:rPr>
      </w:pPr>
      <w:r w:rsidRPr="00F13AF0">
        <w:rPr>
          <w:rFonts w:ascii="Arial" w:eastAsia="Arial" w:hAnsi="Arial"/>
          <w:color w:val="000000"/>
          <w:sz w:val="24"/>
          <w:szCs w:val="24"/>
        </w:rPr>
        <w:t>and shall promptly notify, and procure that each Subcontractor shall promptly notify, t</w:t>
      </w:r>
      <w:r w:rsidRPr="00F13AF0">
        <w:rPr>
          <w:rFonts w:ascii="Arial" w:eastAsia="Arial" w:hAnsi="Arial"/>
          <w:color w:val="000000"/>
          <w:sz w:val="24"/>
          <w:szCs w:val="24"/>
        </w:rPr>
        <w:t>he Buyer or, at the direction of the Buyer, any Replacement Supplier and any Replacement Subcontractor of any notice to terminate employment given by the Supplier or relevant Subcontractor or received from any persons listed on the Supplier's Provisional S</w:t>
      </w:r>
      <w:r w:rsidRPr="00F13AF0">
        <w:rPr>
          <w:rFonts w:ascii="Arial" w:eastAsia="Arial" w:hAnsi="Arial"/>
          <w:color w:val="000000"/>
          <w:sz w:val="24"/>
          <w:szCs w:val="24"/>
        </w:rPr>
        <w:t>upplier Personnel List regardless of when such notice takes effect.</w:t>
      </w:r>
    </w:p>
    <w:p w:rsidR="007C0256" w:rsidRPr="00F13AF0" w:rsidRDefault="00B87DB4">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w:t>
      </w:r>
      <w:r w:rsidRPr="00F13AF0">
        <w:rPr>
          <w:rFonts w:ascii="Arial" w:eastAsia="Arial" w:hAnsi="Arial"/>
          <w:color w:val="000000"/>
          <w:sz w:val="24"/>
          <w:szCs w:val="24"/>
        </w:rPr>
        <w:t>the manner in which the Services are organised.  Within 20 Working Days of receipt of a written request the Supplier shall provide, and shall procure that each Subcontractor shall provide, to the Buyersuch information as the Buyer may reasonably require re</w:t>
      </w:r>
      <w:r w:rsidRPr="00F13AF0">
        <w:rPr>
          <w:rFonts w:ascii="Arial" w:eastAsia="Arial" w:hAnsi="Arial"/>
          <w:color w:val="000000"/>
          <w:sz w:val="24"/>
          <w:szCs w:val="24"/>
        </w:rPr>
        <w:t>lating to the manner in which the Services are organised, which shall include:</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the numbers of employees engaged in providing the Services;</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the percentage of time spent by each employee engaged in providing the Services;</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the extent to which each employee qu</w:t>
      </w:r>
      <w:r w:rsidRPr="00F13AF0">
        <w:rPr>
          <w:rFonts w:ascii="Arial" w:eastAsia="Arial" w:hAnsi="Arial"/>
          <w:color w:val="000000"/>
          <w:sz w:val="24"/>
          <w:szCs w:val="24"/>
        </w:rPr>
        <w:t>alifies for membership of any of the Statutory Schemes or any Broadly Comparable scheme set up pursuant to the provisions of any of the Annexes to Part D (Pensions) (as appropriate); and</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 description of the nature of the work undertaken by each employee b</w:t>
      </w:r>
      <w:r w:rsidRPr="00F13AF0">
        <w:rPr>
          <w:rFonts w:ascii="Arial" w:eastAsia="Arial" w:hAnsi="Arial"/>
          <w:color w:val="000000"/>
          <w:sz w:val="24"/>
          <w:szCs w:val="24"/>
        </w:rPr>
        <w:t>y location.</w:t>
      </w:r>
    </w:p>
    <w:p w:rsidR="007C0256" w:rsidRPr="00F13AF0" w:rsidRDefault="00B87DB4">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The Supplier shall provide, and shall procure that each Subcontractor shall provide, all reasonable cooperation and assistance to the Buyer, any Replacement Supplier and/or any Replacement Subcontractor to ensure the smooth transfer of the Tran</w:t>
      </w:r>
      <w:r w:rsidRPr="00F13AF0">
        <w:rPr>
          <w:rFonts w:ascii="Arial" w:eastAsia="Arial" w:hAnsi="Arial"/>
          <w:color w:val="000000"/>
          <w:sz w:val="24"/>
          <w:szCs w:val="24"/>
        </w:rPr>
        <w:t xml:space="preserve">sferring Supplier Employees on the Service Transfer </w:t>
      </w:r>
      <w:r w:rsidRPr="00F13AF0">
        <w:rPr>
          <w:rFonts w:ascii="Arial" w:eastAsia="Arial" w:hAnsi="Arial"/>
          <w:color w:val="000000"/>
          <w:sz w:val="24"/>
          <w:szCs w:val="24"/>
        </w:rPr>
        <w:lastRenderedPageBreak/>
        <w:t>Date including providing sufficient information in advance of the Service Transfer Date to ensure that all necessary payroll arrangements can be made to enable the Transferring Supplier Employees to be pa</w:t>
      </w:r>
      <w:r w:rsidRPr="00F13AF0">
        <w:rPr>
          <w:rFonts w:ascii="Arial" w:eastAsia="Arial" w:hAnsi="Arial"/>
          <w:color w:val="000000"/>
          <w:sz w:val="24"/>
          <w:szCs w:val="24"/>
        </w:rPr>
        <w:t>id as appropriate.  Without prejudice to the generality of the foregoing, within 5 Working Days following the Service Transfer Date, the Supplier shall provide, and shall procure that each Subcontractor shall provide, to the Buyer or, at the direction of t</w:t>
      </w:r>
      <w:r w:rsidRPr="00F13AF0">
        <w:rPr>
          <w:rFonts w:ascii="Arial" w:eastAsia="Arial" w:hAnsi="Arial"/>
          <w:color w:val="000000"/>
          <w:sz w:val="24"/>
          <w:szCs w:val="24"/>
        </w:rPr>
        <w:t xml:space="preserve">he Buyer, to any Replacement Supplier and/or any Replacement Subcontractor (as appropriate), in respect of each person on the Supplier's Final Supplier Personnel List who is a Transferring Supplier Employee: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the most recent month's copy pay slip data;</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details of cumulative pay for tax and pension purposes;</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details of cumulative tax paid;</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tax code;</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details of any voluntary deductions from pay; and</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bank/building society account details for payroll purposes.</w:t>
      </w:r>
    </w:p>
    <w:p w:rsidR="007C0256" w:rsidRPr="00F13AF0" w:rsidRDefault="00B87DB4">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sidRPr="00F13AF0">
        <w:rPr>
          <w:rFonts w:ascii="Arial Bold" w:eastAsia="Arial Bold" w:hAnsi="Arial Bold" w:cs="Arial Bold"/>
          <w:b/>
          <w:color w:val="000000"/>
          <w:sz w:val="24"/>
          <w:szCs w:val="24"/>
        </w:rPr>
        <w:t>Staff Transfer when the contract ends</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 xml:space="preserve">The Buyer </w:t>
      </w:r>
      <w:r w:rsidRPr="00F13AF0">
        <w:rPr>
          <w:rFonts w:ascii="Arial" w:eastAsia="Arial" w:hAnsi="Arial"/>
          <w:color w:val="000000"/>
          <w:sz w:val="24"/>
          <w:szCs w:val="24"/>
        </w:rPr>
        <w:t>and the Supplier acknowledge that subsequent to the commencement of the provision of the Services, the identity of the provider of the Services (or any part of the Services) may change (whether as a result of termination or Partial Termination of the relev</w:t>
      </w:r>
      <w:r w:rsidRPr="00F13AF0">
        <w:rPr>
          <w:rFonts w:ascii="Arial" w:eastAsia="Arial" w:hAnsi="Arial"/>
          <w:color w:val="000000"/>
          <w:sz w:val="24"/>
          <w:szCs w:val="24"/>
        </w:rPr>
        <w:t>ant Contract or otherwise) resulting in the Services being undertaken by a Replacement Supplier and/or a Replacement Subcontractor.  Such change in the identity of the supplier of such services may constitute a Relevant Transfer to which the Employment Reg</w:t>
      </w:r>
      <w:r w:rsidRPr="00F13AF0">
        <w:rPr>
          <w:rFonts w:ascii="Arial" w:eastAsia="Arial" w:hAnsi="Arial"/>
          <w:color w:val="000000"/>
          <w:sz w:val="24"/>
          <w:szCs w:val="24"/>
        </w:rPr>
        <w:t>ulations and/or the Acquired Rights Directive will apply.  The Buyer and the Supplier agree that, as a result of the operation of the Employment Regulations, where a Relevant Transfer occurs, the contracts of employment between the Supplier and the Transfe</w:t>
      </w:r>
      <w:r w:rsidRPr="00F13AF0">
        <w:rPr>
          <w:rFonts w:ascii="Arial" w:eastAsia="Arial" w:hAnsi="Arial"/>
          <w:color w:val="000000"/>
          <w:sz w:val="24"/>
          <w:szCs w:val="24"/>
        </w:rPr>
        <w:t>rring Supplier Employees (except in relation to any contract terms disapplied through operation of regulation 10(2) of the Employment Regulations) will have effect on and from the Service Transfer Date as if originally made between the Replacement Supplier</w:t>
      </w:r>
      <w:r w:rsidRPr="00F13AF0">
        <w:rPr>
          <w:rFonts w:ascii="Arial" w:eastAsia="Arial" w:hAnsi="Arial"/>
          <w:color w:val="000000"/>
          <w:sz w:val="24"/>
          <w:szCs w:val="24"/>
        </w:rPr>
        <w:t xml:space="preserve"> and/or a Replacement Subcontractor (as the case may be) and each such Transferring Supplier Employee.</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The Supplier shall, and shall procure that each Subcontractor shall,  comply with all its obligations in respect of the Transferring Supplier Employees a</w:t>
      </w:r>
      <w:r w:rsidRPr="00F13AF0">
        <w:rPr>
          <w:rFonts w:ascii="Arial" w:eastAsia="Arial" w:hAnsi="Arial"/>
          <w:color w:val="000000"/>
          <w:sz w:val="24"/>
          <w:szCs w:val="24"/>
        </w:rPr>
        <w:t>rising under the Employment Regulations in respect of the period up to (and including) the Service Transfer Date and shall perform and discharge, and procure that each Subcontractor shall perform and discharge, all its obligations in respect of all the Tra</w:t>
      </w:r>
      <w:r w:rsidRPr="00F13AF0">
        <w:rPr>
          <w:rFonts w:ascii="Arial" w:eastAsia="Arial" w:hAnsi="Arial"/>
          <w:color w:val="000000"/>
          <w:sz w:val="24"/>
          <w:szCs w:val="24"/>
        </w:rPr>
        <w:t>nsferring Supplier Employees arising in respect of the period up to (and including) the Service Transfer Date (including (without limit) the payment of all remuneration, benefits, entitlements, and outgoings, all wages, accrued but untaken holiday pay, bon</w:t>
      </w:r>
      <w:r w:rsidRPr="00F13AF0">
        <w:rPr>
          <w:rFonts w:ascii="Arial" w:eastAsia="Arial" w:hAnsi="Arial"/>
          <w:color w:val="000000"/>
          <w:sz w:val="24"/>
          <w:szCs w:val="24"/>
        </w:rPr>
        <w:t>uses, commissions, payments ofPAYE, national insurance contributions and pension contributions and all such sums due as a result of any Fair Deal Employees' participation in the Schemes which in any case are attributable in whole or in part to the period e</w:t>
      </w:r>
      <w:r w:rsidRPr="00F13AF0">
        <w:rPr>
          <w:rFonts w:ascii="Arial" w:eastAsia="Arial" w:hAnsi="Arial"/>
          <w:color w:val="000000"/>
          <w:sz w:val="24"/>
          <w:szCs w:val="24"/>
        </w:rPr>
        <w:t xml:space="preserve">nding on (and including) </w:t>
      </w:r>
      <w:r w:rsidRPr="00F13AF0">
        <w:rPr>
          <w:rFonts w:ascii="Arial" w:eastAsia="Arial" w:hAnsi="Arial"/>
          <w:color w:val="000000"/>
          <w:sz w:val="24"/>
          <w:szCs w:val="24"/>
        </w:rPr>
        <w:lastRenderedPageBreak/>
        <w:t>the Service Transfer Date) and any necessary apportionments in respect of any periodic payments shall be made between: (i) the Supplier and/or the Subcontractor (as appropriate); and (ii) the Replacement Supplier and/or Replacement</w:t>
      </w:r>
      <w:r w:rsidRPr="00F13AF0">
        <w:rPr>
          <w:rFonts w:ascii="Arial" w:eastAsia="Arial" w:hAnsi="Arial"/>
          <w:color w:val="000000"/>
          <w:sz w:val="24"/>
          <w:szCs w:val="24"/>
        </w:rPr>
        <w:t xml:space="preserve"> Subcontractor.  </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sidRPr="00F13AF0">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 any act or omission of the Supplier o</w:t>
      </w:r>
      <w:r w:rsidRPr="00F13AF0">
        <w:rPr>
          <w:rFonts w:ascii="Arial" w:eastAsia="Arial" w:hAnsi="Arial"/>
          <w:color w:val="000000"/>
          <w:sz w:val="24"/>
          <w:szCs w:val="24"/>
        </w:rPr>
        <w:t>r any Subcontractor in respect of any Transferring Supplier Employee or any appropriate employee representative (as defined in the Employment Regulations) of any Transferring Supplier Employee whether occurring before, on or after the Service Transfer Date</w:t>
      </w:r>
      <w:r w:rsidRPr="00F13AF0">
        <w:rPr>
          <w:rFonts w:ascii="Arial" w:eastAsia="Arial" w:hAnsi="Arial"/>
          <w:color w:val="000000"/>
          <w:sz w:val="24"/>
          <w:szCs w:val="24"/>
        </w:rPr>
        <w:t xml:space="preserve">;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the breach or non-observance by the Supplier or any Subcontractor occurring on or before the Service Transfer Date of: </w:t>
      </w:r>
    </w:p>
    <w:p w:rsidR="007C0256" w:rsidRPr="00F13AF0" w:rsidRDefault="00B87DB4">
      <w:pPr>
        <w:pStyle w:val="Heading5"/>
        <w:numPr>
          <w:ilvl w:val="4"/>
          <w:numId w:val="18"/>
        </w:numPr>
        <w:ind w:left="3402" w:hanging="1134"/>
        <w:rPr>
          <w:rFonts w:ascii="Arial" w:eastAsia="Arial" w:hAnsi="Arial"/>
          <w:sz w:val="24"/>
          <w:szCs w:val="24"/>
        </w:rPr>
      </w:pPr>
      <w:r w:rsidRPr="00F13AF0">
        <w:rPr>
          <w:rFonts w:ascii="Arial" w:eastAsia="Arial" w:hAnsi="Arial"/>
          <w:sz w:val="24"/>
          <w:szCs w:val="24"/>
        </w:rPr>
        <w:t>any collective agreement applicable to the Transferring Supplier Employees; and/or</w:t>
      </w:r>
    </w:p>
    <w:p w:rsidR="007C0256" w:rsidRPr="00F13AF0" w:rsidRDefault="00B87DB4">
      <w:pPr>
        <w:pStyle w:val="Heading5"/>
        <w:numPr>
          <w:ilvl w:val="4"/>
          <w:numId w:val="18"/>
        </w:numPr>
        <w:ind w:left="3402" w:hanging="1134"/>
        <w:rPr>
          <w:rFonts w:ascii="Arial" w:eastAsia="Arial" w:hAnsi="Arial"/>
          <w:sz w:val="24"/>
          <w:szCs w:val="24"/>
        </w:rPr>
      </w:pPr>
      <w:r w:rsidRPr="00F13AF0">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sidRPr="00F13AF0">
        <w:rPr>
          <w:rFonts w:ascii="Arial" w:eastAsia="Arial" w:hAnsi="Arial"/>
          <w:color w:val="000000"/>
          <w:sz w:val="24"/>
          <w:szCs w:val="24"/>
        </w:rPr>
        <w:t>any claim by any trade union or other body or person representi</w:t>
      </w:r>
      <w:r w:rsidRPr="00F13AF0">
        <w:rPr>
          <w:rFonts w:ascii="Arial" w:eastAsia="Arial" w:hAnsi="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any proceeding, cla</w:t>
      </w:r>
      <w:r w:rsidRPr="00F13AF0">
        <w:rPr>
          <w:rFonts w:ascii="Arial" w:eastAsia="Arial" w:hAnsi="Arial"/>
          <w:color w:val="000000"/>
          <w:sz w:val="24"/>
          <w:szCs w:val="24"/>
        </w:rPr>
        <w:t>im or demand by HMRC or other statutory authority in respect of any financial obligation including, but not limited to, PAYE and primary and secondary national insurance contributions:</w:t>
      </w:r>
    </w:p>
    <w:p w:rsidR="007C0256" w:rsidRPr="00F13AF0" w:rsidRDefault="00B87DB4">
      <w:pPr>
        <w:pStyle w:val="Heading5"/>
        <w:numPr>
          <w:ilvl w:val="4"/>
          <w:numId w:val="14"/>
        </w:numPr>
        <w:ind w:left="3402" w:hanging="1134"/>
        <w:rPr>
          <w:rFonts w:ascii="Arial" w:eastAsia="Arial" w:hAnsi="Arial"/>
          <w:sz w:val="24"/>
          <w:szCs w:val="24"/>
        </w:rPr>
      </w:pPr>
      <w:r w:rsidRPr="00F13AF0">
        <w:rPr>
          <w:rFonts w:ascii="Arial" w:eastAsia="Arial" w:hAnsi="Arial"/>
          <w:sz w:val="24"/>
          <w:szCs w:val="24"/>
        </w:rPr>
        <w:t>in relation to any Transferring Supplier Employee, to the extent that t</w:t>
      </w:r>
      <w:r w:rsidRPr="00F13AF0">
        <w:rPr>
          <w:rFonts w:ascii="Arial" w:eastAsia="Arial" w:hAnsi="Arial"/>
          <w:sz w:val="24"/>
          <w:szCs w:val="24"/>
        </w:rPr>
        <w:t>he proceeding, claim or demand by HMRC or other statutory authority relates to financial obligations arising on and before the Service Transfer Date; and</w:t>
      </w:r>
    </w:p>
    <w:p w:rsidR="007C0256" w:rsidRPr="00F13AF0" w:rsidRDefault="00B87DB4">
      <w:pPr>
        <w:pStyle w:val="Heading5"/>
        <w:numPr>
          <w:ilvl w:val="4"/>
          <w:numId w:val="14"/>
        </w:numPr>
        <w:ind w:left="3402" w:hanging="1134"/>
        <w:rPr>
          <w:rFonts w:ascii="Arial" w:eastAsia="Arial" w:hAnsi="Arial"/>
          <w:sz w:val="24"/>
          <w:szCs w:val="24"/>
        </w:rPr>
      </w:pPr>
      <w:r w:rsidRPr="00F13AF0">
        <w:rPr>
          <w:rFonts w:ascii="Arial" w:eastAsia="Arial" w:hAnsi="Arial"/>
          <w:sz w:val="24"/>
          <w:szCs w:val="24"/>
        </w:rPr>
        <w:lastRenderedPageBreak/>
        <w:t>in relation to any employee who is not identified in the Supplier’s Final Supplier Personnel List, and</w:t>
      </w:r>
      <w:r w:rsidRPr="00F13AF0">
        <w:rPr>
          <w:rFonts w:ascii="Arial" w:eastAsia="Arial" w:hAnsi="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sidRPr="00F13AF0">
        <w:rPr>
          <w:rFonts w:ascii="Arial" w:eastAsia="Arial" w:hAnsi="Arial"/>
          <w:sz w:val="24"/>
          <w:szCs w:val="24"/>
        </w:rPr>
        <w:t>eding, claim or demand by HMRC or other statutory authority relates to financial obligations arising on or before the Service Transfer Date;</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 failure of the Supplier or any Subcontractor to discharge or procure the discharge of all wages, salaries and all</w:t>
      </w:r>
      <w:r w:rsidRPr="00F13AF0">
        <w:rPr>
          <w:rFonts w:ascii="Arial" w:eastAsia="Arial" w:hAnsi="Arial"/>
          <w:color w:val="000000"/>
          <w:sz w:val="24"/>
          <w:szCs w:val="24"/>
        </w:rPr>
        <w:t xml:space="preserve"> other benefits and all PAYE tax deductions and national insurance contributions relating to the Transferring Supplier Employees in respect of the period up to (and including) the Service Transfer Date);</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any claim made by or in respect of any person employ</w:t>
      </w:r>
      <w:r w:rsidRPr="00F13AF0">
        <w:rPr>
          <w:rFonts w:ascii="Arial" w:eastAsia="Arial" w:hAnsi="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sidRPr="00F13AF0">
        <w:rPr>
          <w:rFonts w:ascii="Arial" w:eastAsia="Arial" w:hAnsi="Arial"/>
          <w:color w:val="000000"/>
          <w:sz w:val="24"/>
          <w:szCs w:val="24"/>
        </w:rPr>
        <w:t>ontractor may be liable by virtue of the relevant Contract and/or the Employment Regulations and/or the Acquired Rights Directive; and</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any claim made by or in respect of a Transferring Supplier Employee or any appropriate employee representative (as define</w:t>
      </w:r>
      <w:r w:rsidRPr="00F13AF0">
        <w:rPr>
          <w:rFonts w:ascii="Arial" w:eastAsia="Arial" w:hAnsi="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sidRPr="00F13AF0">
        <w:rPr>
          <w:rFonts w:ascii="Arial" w:eastAsia="Arial" w:hAnsi="Arial"/>
          <w:color w:val="000000"/>
          <w:sz w:val="24"/>
          <w:szCs w:val="24"/>
        </w:rPr>
        <w:t>ility arises from the failure by the Buyer and/or Replacement Supplier to comply with regulation 13(4) of the Employment Regulations.</w:t>
      </w:r>
    </w:p>
    <w:p w:rsidR="007C0256" w:rsidRPr="00F13AF0" w:rsidRDefault="007C0256">
      <w:pPr>
        <w:pBdr>
          <w:top w:val="nil"/>
          <w:left w:val="nil"/>
          <w:bottom w:val="nil"/>
          <w:right w:val="nil"/>
          <w:between w:val="nil"/>
        </w:pBdr>
        <w:spacing w:before="120" w:after="120"/>
        <w:ind w:left="2214" w:hanging="1080"/>
        <w:rPr>
          <w:rFonts w:ascii="Arial" w:eastAsia="Arial" w:hAnsi="Arial"/>
          <w:color w:val="000000"/>
          <w:sz w:val="24"/>
          <w:szCs w:val="24"/>
        </w:rPr>
      </w:pP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sidRPr="00F13AF0">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sidRPr="00F13AF0">
        <w:rPr>
          <w:rFonts w:ascii="Arial" w:eastAsia="Arial" w:hAnsi="Arial"/>
          <w:color w:val="000000"/>
          <w:sz w:val="24"/>
          <w:szCs w:val="24"/>
        </w:rPr>
        <w:t xml:space="preserve">or after the Service Transfer Date including any Employee Liabilities: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sidRPr="00F13AF0">
        <w:rPr>
          <w:rFonts w:ascii="Arial" w:eastAsia="Arial" w:hAnsi="Arial"/>
          <w:color w:val="000000"/>
          <w:sz w:val="24"/>
          <w:szCs w:val="24"/>
        </w:rPr>
        <w:t>sed by the Replacement Supplier and/or any Replacement Subcontractor to occur in the period on or after the Service Transfer Date); or</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lastRenderedPageBreak/>
        <w:t>arising from the Replacement Supplier’s failure, and/or Replacement Subcontractor’s failure, to comply with its obligatio</w:t>
      </w:r>
      <w:r w:rsidRPr="00F13AF0">
        <w:rPr>
          <w:rFonts w:ascii="Arial" w:eastAsia="Arial" w:hAnsi="Arial"/>
          <w:color w:val="000000"/>
          <w:sz w:val="24"/>
          <w:szCs w:val="24"/>
        </w:rPr>
        <w:t>ns under the Employment Regulations.</w:t>
      </w:r>
    </w:p>
    <w:p w:rsidR="007C0256" w:rsidRPr="00F13AF0" w:rsidRDefault="007C0256">
      <w:pPr>
        <w:pBdr>
          <w:top w:val="nil"/>
          <w:left w:val="nil"/>
          <w:bottom w:val="nil"/>
          <w:right w:val="nil"/>
          <w:between w:val="nil"/>
        </w:pBdr>
        <w:spacing w:before="120" w:after="120"/>
        <w:ind w:left="1134" w:hanging="1080"/>
        <w:rPr>
          <w:rFonts w:eastAsia="Calibri" w:cs="Calibri"/>
          <w:color w:val="000000"/>
        </w:rPr>
      </w:pPr>
    </w:p>
    <w:p w:rsidR="007C0256" w:rsidRPr="00F13AF0" w:rsidRDefault="00B87DB4">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sidRPr="00F13AF0">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sidRPr="00F13AF0">
        <w:rPr>
          <w:rFonts w:ascii="Arial" w:eastAsia="Arial" w:hAnsi="Arial"/>
          <w:color w:val="000000"/>
          <w:sz w:val="24"/>
          <w:szCs w:val="24"/>
        </w:rPr>
        <w:t>ier and/or Replacement Subcontractor pursuant to the Employment Regulations or the Acquired Rights Directive, then:</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sidRPr="00F13AF0">
        <w:rPr>
          <w:rFonts w:ascii="Arial" w:eastAsia="Arial" w:hAnsi="Arial"/>
          <w:color w:val="000000"/>
          <w:sz w:val="24"/>
          <w:szCs w:val="24"/>
        </w:rPr>
        <w:t>the Buyer shall procure that the Replacement Supplier and/or Replacement Subcontractor will, within 5 Working Days of becoming aware of that</w:t>
      </w:r>
      <w:r w:rsidRPr="00F13AF0">
        <w:rPr>
          <w:rFonts w:ascii="Arial" w:eastAsia="Arial" w:hAnsi="Arial"/>
          <w:color w:val="000000"/>
          <w:sz w:val="24"/>
          <w:szCs w:val="24"/>
        </w:rPr>
        <w:t xml:space="preserve"> fact, notify the Buyer and the Supplier in writing; and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sidRPr="00F13AF0">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sidRPr="00F13AF0">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rsidR="007C0256" w:rsidRPr="00F13AF0" w:rsidRDefault="00B87DB4">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If such offer of is accepted, or if the situation has otherwise been resolved by the Supplier or a Subco</w:t>
      </w:r>
      <w:r w:rsidRPr="00F13AF0">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7C0256" w:rsidRPr="00F13AF0" w:rsidRDefault="00B87DB4">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sidRPr="00F13AF0">
        <w:rPr>
          <w:rFonts w:ascii="Arial" w:eastAsia="Arial" w:hAnsi="Arial"/>
          <w:color w:val="000000"/>
          <w:sz w:val="24"/>
          <w:szCs w:val="24"/>
        </w:rPr>
        <w:t xml:space="preserve">If after the 15 Working Day </w:t>
      </w:r>
      <w:r w:rsidRPr="00F13AF0">
        <w:rPr>
          <w:rFonts w:ascii="Arial" w:eastAsia="Arial" w:hAnsi="Arial"/>
          <w:color w:val="000000"/>
          <w:sz w:val="24"/>
          <w:szCs w:val="24"/>
        </w:rPr>
        <w:t xml:space="preserve">period specified in Paragraph 2.5.2 has elapsed: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no such offer has been made: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such offer has been made but not accepted; or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the situation has not otherwise been resolved</w:t>
      </w:r>
    </w:p>
    <w:p w:rsidR="007C0256" w:rsidRPr="00F13AF0" w:rsidRDefault="00B87DB4">
      <w:pPr>
        <w:pBdr>
          <w:top w:val="nil"/>
          <w:left w:val="nil"/>
          <w:bottom w:val="nil"/>
          <w:right w:val="nil"/>
          <w:between w:val="nil"/>
        </w:pBdr>
        <w:spacing w:before="120" w:after="120"/>
        <w:ind w:left="993" w:hanging="1080"/>
        <w:rPr>
          <w:rFonts w:ascii="Arial" w:eastAsia="Arial" w:hAnsi="Arial"/>
          <w:color w:val="000000"/>
          <w:sz w:val="24"/>
          <w:szCs w:val="24"/>
        </w:rPr>
      </w:pPr>
      <w:r w:rsidRPr="00F13AF0">
        <w:rPr>
          <w:rFonts w:ascii="Arial" w:eastAsia="Arial" w:hAnsi="Arial"/>
          <w:color w:val="000000"/>
          <w:sz w:val="24"/>
          <w:szCs w:val="24"/>
        </w:rPr>
        <w:t>the Buyer shall advise the Replacement Supplier and/or Replacement Subcontractor (a</w:t>
      </w:r>
      <w:r w:rsidRPr="00F13AF0">
        <w:rPr>
          <w:rFonts w:ascii="Arial" w:eastAsia="Arial" w:hAnsi="Arial"/>
          <w:color w:val="000000"/>
          <w:sz w:val="24"/>
          <w:szCs w:val="24"/>
        </w:rPr>
        <w:t>s appropriate) that it may within 5 Working Days give notice to terminate the employment or alleged employment of such person;</w:t>
      </w:r>
    </w:p>
    <w:p w:rsidR="007C0256" w:rsidRPr="00F13AF0" w:rsidRDefault="00B87DB4">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Subject to the Replacement Supplier's and/or Replacement Subcontractor acting in accordance with the provisions of Paragraphs 2.5</w:t>
      </w:r>
      <w:r w:rsidRPr="00F13AF0">
        <w:rPr>
          <w:rFonts w:ascii="Arial" w:eastAsia="Arial" w:hAnsi="Arial"/>
          <w:color w:val="000000"/>
          <w:sz w:val="24"/>
          <w:szCs w:val="24"/>
        </w:rPr>
        <w:t xml:space="preserve"> to 2.7 and in accordance with all applicable proper employment procedures set out in applicable Law and subject to Paragraph 2.9 below, the Supplier will indemnify the Replacement Supplier and/or Replacement Subcontractor against all Employee Liabilities </w:t>
      </w:r>
      <w:r w:rsidRPr="00F13AF0">
        <w:rPr>
          <w:rFonts w:ascii="Arial" w:eastAsia="Arial" w:hAnsi="Arial"/>
          <w:color w:val="000000"/>
          <w:sz w:val="24"/>
          <w:szCs w:val="24"/>
        </w:rPr>
        <w:t>arising out of the termination of the employment of any of the Supplier's  employees pursuant to the provisions of Paragraph 2.7 provided that the Replacement Supplier takes, or shall procure that the Replacement Subcontractor takes, all reasonable steps t</w:t>
      </w:r>
      <w:r w:rsidRPr="00F13AF0">
        <w:rPr>
          <w:rFonts w:ascii="Arial" w:eastAsia="Arial" w:hAnsi="Arial"/>
          <w:color w:val="000000"/>
          <w:sz w:val="24"/>
          <w:szCs w:val="24"/>
        </w:rPr>
        <w:t xml:space="preserve">o minimise any such Employee Liabilities. </w:t>
      </w:r>
    </w:p>
    <w:p w:rsidR="007C0256" w:rsidRPr="00F13AF0" w:rsidRDefault="00B87DB4">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sidRPr="00F13AF0">
        <w:rPr>
          <w:rFonts w:ascii="Arial" w:eastAsia="Arial" w:hAnsi="Arial"/>
          <w:color w:val="000000"/>
          <w:sz w:val="24"/>
          <w:szCs w:val="24"/>
        </w:rPr>
        <w:t xml:space="preserve">The indemnity in Paragraph 2.8: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 shall not apply to:</w:t>
      </w:r>
    </w:p>
    <w:p w:rsidR="007C0256" w:rsidRPr="00F13AF0" w:rsidRDefault="00B87DB4">
      <w:pPr>
        <w:numPr>
          <w:ilvl w:val="3"/>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lastRenderedPageBreak/>
        <w:t xml:space="preserve">any claim for: </w:t>
      </w:r>
    </w:p>
    <w:p w:rsidR="007C0256" w:rsidRPr="00F13AF0" w:rsidRDefault="00B87DB4">
      <w:pPr>
        <w:numPr>
          <w:ilvl w:val="5"/>
          <w:numId w:val="9"/>
        </w:numPr>
        <w:pBdr>
          <w:top w:val="nil"/>
          <w:left w:val="nil"/>
          <w:bottom w:val="nil"/>
          <w:right w:val="nil"/>
          <w:between w:val="nil"/>
        </w:pBdr>
        <w:rPr>
          <w:rFonts w:ascii="Arial" w:eastAsia="Arial" w:hAnsi="Arial"/>
          <w:color w:val="000000"/>
          <w:sz w:val="24"/>
          <w:szCs w:val="24"/>
        </w:rPr>
      </w:pPr>
      <w:r w:rsidRPr="00F13AF0">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7C0256" w:rsidRPr="00F13AF0" w:rsidRDefault="00B87DB4">
      <w:pPr>
        <w:numPr>
          <w:ilvl w:val="5"/>
          <w:numId w:val="9"/>
        </w:numPr>
        <w:pBdr>
          <w:top w:val="nil"/>
          <w:left w:val="nil"/>
          <w:bottom w:val="nil"/>
          <w:right w:val="nil"/>
          <w:between w:val="nil"/>
        </w:pBdr>
        <w:rPr>
          <w:rFonts w:ascii="Arial" w:eastAsia="Arial" w:hAnsi="Arial"/>
          <w:color w:val="000000"/>
          <w:sz w:val="24"/>
          <w:szCs w:val="24"/>
        </w:rPr>
      </w:pPr>
      <w:r w:rsidRPr="00F13AF0">
        <w:rPr>
          <w:rFonts w:ascii="Arial" w:eastAsia="Arial" w:hAnsi="Arial"/>
          <w:color w:val="000000"/>
          <w:sz w:val="24"/>
          <w:szCs w:val="24"/>
        </w:rPr>
        <w:t>equal pay or compensation for less favourable treatment of par</w:t>
      </w:r>
      <w:r w:rsidRPr="00F13AF0">
        <w:rPr>
          <w:rFonts w:ascii="Arial" w:eastAsia="Arial" w:hAnsi="Arial"/>
          <w:color w:val="000000"/>
          <w:sz w:val="24"/>
          <w:szCs w:val="24"/>
        </w:rPr>
        <w:t xml:space="preserve">t-time workers or fixed-term employees, </w:t>
      </w:r>
    </w:p>
    <w:p w:rsidR="007C0256" w:rsidRPr="00F13AF0" w:rsidRDefault="00B87DB4">
      <w:pPr>
        <w:pBdr>
          <w:top w:val="nil"/>
          <w:left w:val="nil"/>
          <w:bottom w:val="nil"/>
          <w:right w:val="nil"/>
          <w:between w:val="nil"/>
        </w:pBdr>
        <w:ind w:left="3600" w:hanging="720"/>
        <w:rPr>
          <w:rFonts w:ascii="Arial" w:eastAsia="Arial" w:hAnsi="Arial"/>
          <w:color w:val="000000"/>
          <w:sz w:val="24"/>
          <w:szCs w:val="24"/>
        </w:rPr>
      </w:pPr>
      <w:r w:rsidRPr="00F13AF0">
        <w:rPr>
          <w:rFonts w:ascii="Arial" w:eastAsia="Arial" w:hAnsi="Arial"/>
          <w:color w:val="000000"/>
          <w:sz w:val="24"/>
          <w:szCs w:val="24"/>
        </w:rPr>
        <w:t>In any case in relation to any alleged act or omission of the Replacement Supplier and/or Replacement Subcontractor, or</w:t>
      </w:r>
    </w:p>
    <w:p w:rsidR="007C0256" w:rsidRPr="00F13AF0" w:rsidRDefault="00B87DB4">
      <w:pPr>
        <w:numPr>
          <w:ilvl w:val="3"/>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sidRPr="00F13AF0">
        <w:rPr>
          <w:rFonts w:ascii="Arial" w:eastAsia="Arial" w:hAnsi="Arial"/>
          <w:color w:val="000000"/>
          <w:sz w:val="24"/>
          <w:szCs w:val="24"/>
        </w:rPr>
        <w:t>shall apply only where the notification referred to in Paragraph 2.5.1 is made by</w:t>
      </w:r>
      <w:r w:rsidRPr="00F13AF0">
        <w:rPr>
          <w:rFonts w:ascii="Arial" w:eastAsia="Arial" w:hAnsi="Arial"/>
          <w:color w:val="000000"/>
          <w:sz w:val="24"/>
          <w:szCs w:val="24"/>
        </w:rPr>
        <w:t xml:space="preserve"> the Replacement Supplier and/or Replacement Subcontractor to the Supplier within 6 months of the Service Transfer Date..</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If any such person as is described in Paragraph 2.5 is neither re-employed by the Supplier or any Subcontractor nor dismissed by the R</w:t>
      </w:r>
      <w:r w:rsidRPr="00F13AF0">
        <w:rPr>
          <w:rFonts w:ascii="Arial" w:eastAsia="Arial" w:hAnsi="Arial"/>
          <w:color w:val="000000"/>
          <w:sz w:val="24"/>
          <w:szCs w:val="24"/>
        </w:rPr>
        <w:t>eplacement Supplier and/or Replacement Subcontractor within the time scales set out in Paragraphs 2.5 to 2.7, such person shall be treated as a Transferring Supplier Employee. .</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sidRPr="00F13AF0">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sidRPr="00F13AF0">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sidRPr="00F13AF0">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sidRPr="00F13AF0">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7C0256" w:rsidRPr="00F13AF0" w:rsidRDefault="00B87DB4">
      <w:pPr>
        <w:pStyle w:val="Heading4"/>
        <w:numPr>
          <w:ilvl w:val="3"/>
          <w:numId w:val="14"/>
        </w:numPr>
        <w:rPr>
          <w:rFonts w:ascii="Arial" w:eastAsia="Arial" w:hAnsi="Arial"/>
          <w:sz w:val="24"/>
          <w:szCs w:val="24"/>
        </w:rPr>
      </w:pPr>
      <w:r w:rsidRPr="00F13AF0">
        <w:rPr>
          <w:rFonts w:ascii="Arial" w:eastAsia="Arial" w:hAnsi="Arial"/>
          <w:sz w:val="24"/>
          <w:szCs w:val="24"/>
        </w:rPr>
        <w:t>the Supplier and/or any Subcontractor; and</w:t>
      </w:r>
    </w:p>
    <w:p w:rsidR="007C0256" w:rsidRPr="00F13AF0" w:rsidRDefault="00B87DB4">
      <w:pPr>
        <w:pStyle w:val="Heading4"/>
        <w:numPr>
          <w:ilvl w:val="3"/>
          <w:numId w:val="14"/>
        </w:numPr>
        <w:rPr>
          <w:rFonts w:ascii="Arial" w:eastAsia="Arial" w:hAnsi="Arial"/>
          <w:sz w:val="24"/>
          <w:szCs w:val="24"/>
        </w:rPr>
      </w:pPr>
      <w:r w:rsidRPr="00F13AF0">
        <w:rPr>
          <w:rFonts w:ascii="Arial" w:eastAsia="Arial" w:hAnsi="Arial"/>
          <w:sz w:val="24"/>
          <w:szCs w:val="24"/>
        </w:rPr>
        <w:t>the Replacement Supplier and/or the Replacement Subcontractor.</w:t>
      </w:r>
    </w:p>
    <w:p w:rsidR="007C0256" w:rsidRPr="00F13AF0" w:rsidRDefault="007C0256">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sidRPr="00F13AF0">
        <w:rPr>
          <w:rFonts w:ascii="Arial" w:eastAsia="Arial" w:hAnsi="Arial"/>
          <w:color w:val="000000"/>
          <w:sz w:val="24"/>
          <w:szCs w:val="24"/>
        </w:rPr>
        <w:lastRenderedPageBreak/>
        <w:t>The Supplier shall, and shall procure that each Subcontractor shall,  promptly provide the Buyer and any Replacement Supplier and/or Replacement Subc</w:t>
      </w:r>
      <w:r w:rsidRPr="00F13AF0">
        <w:rPr>
          <w:rFonts w:ascii="Arial" w:eastAsia="Arial" w:hAnsi="Arial"/>
          <w:color w:val="000000"/>
          <w:sz w:val="24"/>
          <w:szCs w:val="24"/>
        </w:rPr>
        <w:t>ontractor, in writing such information as is necessary to enable the Buyer, the Replacement Supplier and/or Replacement Subcontractor to carry out their respective duties under regulation 13 of the Employment Regulations. The Buyer shall procure that the R</w:t>
      </w:r>
      <w:r w:rsidRPr="00F13AF0">
        <w:rPr>
          <w:rFonts w:ascii="Arial" w:eastAsia="Arial" w:hAnsi="Arial"/>
          <w:color w:val="000000"/>
          <w:sz w:val="24"/>
          <w:szCs w:val="24"/>
        </w:rPr>
        <w:t>eplacement Supplier and/or Replacement Subcontractor, shall promptly provide to the Supplier and each Subcontractor in writing such information as is necessary to enable the Supplier and each Subcontractor to carry out their respective duties under regulat</w:t>
      </w:r>
      <w:r w:rsidRPr="00F13AF0">
        <w:rPr>
          <w:rFonts w:ascii="Arial" w:eastAsia="Arial" w:hAnsi="Arial"/>
          <w:color w:val="000000"/>
          <w:sz w:val="24"/>
          <w:szCs w:val="24"/>
        </w:rPr>
        <w:t>ion 13 of the Employment Regulations.</w:t>
      </w:r>
    </w:p>
    <w:p w:rsidR="007C0256" w:rsidRPr="00F13AF0" w:rsidRDefault="00B87DB4">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sidRPr="00F13AF0">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w:t>
      </w:r>
      <w:r w:rsidRPr="00F13AF0">
        <w:rPr>
          <w:rFonts w:ascii="Arial" w:eastAsia="Arial" w:hAnsi="Arial"/>
          <w:color w:val="000000"/>
          <w:sz w:val="24"/>
          <w:szCs w:val="24"/>
        </w:rPr>
        <w:t xml:space="preserve">bilities arising from or as a result of: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w:t>
      </w:r>
      <w:r w:rsidRPr="00F13AF0">
        <w:rPr>
          <w:rFonts w:ascii="Arial" w:eastAsia="Arial" w:hAnsi="Arial"/>
          <w:color w:val="000000"/>
          <w:sz w:val="24"/>
          <w:szCs w:val="24"/>
        </w:rPr>
        <w:t xml:space="preserve">ntative (as defined in the Employment Regulations) of any such Transferring Supplier Employee;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the breach or non-observance by the Replacement Supplier and/or Replacement Subcontractor on or after the Service Transfer Date of: </w:t>
      </w:r>
    </w:p>
    <w:p w:rsidR="007C0256" w:rsidRPr="00F13AF0" w:rsidRDefault="00B87DB4">
      <w:pPr>
        <w:pStyle w:val="Heading5"/>
        <w:numPr>
          <w:ilvl w:val="4"/>
          <w:numId w:val="14"/>
        </w:numPr>
        <w:ind w:left="3402" w:hanging="1134"/>
        <w:rPr>
          <w:rFonts w:ascii="Arial" w:eastAsia="Arial" w:hAnsi="Arial"/>
          <w:sz w:val="24"/>
          <w:szCs w:val="24"/>
        </w:rPr>
      </w:pPr>
      <w:r w:rsidRPr="00F13AF0">
        <w:rPr>
          <w:rFonts w:ascii="Arial" w:eastAsia="Arial" w:hAnsi="Arial"/>
          <w:sz w:val="24"/>
          <w:szCs w:val="24"/>
        </w:rPr>
        <w:t xml:space="preserve">any collective agreement applicable to the Transferring Supplier Employees identified in the Supplier’s Final Supplier Personnel List; and/or </w:t>
      </w:r>
    </w:p>
    <w:p w:rsidR="007C0256" w:rsidRPr="00F13AF0" w:rsidRDefault="00B87DB4">
      <w:pPr>
        <w:pStyle w:val="Heading5"/>
        <w:numPr>
          <w:ilvl w:val="4"/>
          <w:numId w:val="14"/>
        </w:numPr>
        <w:ind w:left="3402" w:hanging="1134"/>
        <w:rPr>
          <w:rFonts w:ascii="Arial" w:eastAsia="Arial" w:hAnsi="Arial"/>
          <w:sz w:val="24"/>
          <w:szCs w:val="24"/>
        </w:rPr>
      </w:pPr>
      <w:r w:rsidRPr="00F13AF0">
        <w:rPr>
          <w:rFonts w:ascii="Arial" w:eastAsia="Arial" w:hAnsi="Arial"/>
          <w:sz w:val="24"/>
          <w:szCs w:val="24"/>
        </w:rPr>
        <w:t>any custom or practice in respect of any Transferring Supplier Employees identified in the Supplier’s Final Suppl</w:t>
      </w:r>
      <w:r w:rsidRPr="00F13AF0">
        <w:rPr>
          <w:rFonts w:ascii="Arial" w:eastAsia="Arial" w:hAnsi="Arial"/>
          <w:sz w:val="24"/>
          <w:szCs w:val="24"/>
        </w:rPr>
        <w:t>ier Personnel List which the Replacement Supplier and/or Replacement Subcontractor is contractually bound to honour;</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any claim by any trade union or other body or person representing any Transferring Supplier Employees identified in the Supplier’s Final Su</w:t>
      </w:r>
      <w:r w:rsidRPr="00F13AF0">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any proposa</w:t>
      </w:r>
      <w:r w:rsidRPr="00F13AF0">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sidRPr="00F13AF0">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sidRPr="00F13AF0">
        <w:rPr>
          <w:rFonts w:ascii="Arial" w:eastAsia="Arial" w:hAnsi="Arial"/>
          <w:color w:val="000000"/>
          <w:sz w:val="24"/>
          <w:szCs w:val="24"/>
        </w:rPr>
        <w:lastRenderedPageBreak/>
        <w:t>working conditions of any person identified in the Supplier’s Final Supplier Personnel Lis</w:t>
      </w:r>
      <w:r w:rsidRPr="00F13AF0">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sidRPr="00F13AF0">
        <w:rPr>
          <w:rFonts w:ascii="Arial" w:eastAsia="Arial" w:hAnsi="Arial"/>
          <w:color w:val="000000"/>
          <w:sz w:val="24"/>
          <w:szCs w:val="24"/>
        </w:rPr>
        <w:t xml:space="preserve">cted to such proposed changes; </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sidRPr="00F13AF0">
        <w:rPr>
          <w:rFonts w:ascii="Arial" w:eastAsia="Arial" w:hAnsi="Arial"/>
          <w:color w:val="000000"/>
          <w:sz w:val="24"/>
          <w:szCs w:val="24"/>
        </w:rPr>
        <w:t>on or before the Service Transfer Date regarding the Relevant Transfer which has not been agreed in advance with the Supplier in writing;</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any proceeding, claim or demand by HMRC or other statutory authority in respect of any financial obligation including,</w:t>
      </w:r>
      <w:r w:rsidRPr="00F13AF0">
        <w:rPr>
          <w:rFonts w:ascii="Arial" w:eastAsia="Arial" w:hAnsi="Arial"/>
          <w:color w:val="000000"/>
          <w:sz w:val="24"/>
          <w:szCs w:val="24"/>
        </w:rPr>
        <w:t xml:space="preserve"> but not limited to, PAYE and primary and secondary national insurance contributions:</w:t>
      </w:r>
    </w:p>
    <w:p w:rsidR="007C0256" w:rsidRPr="00F13AF0" w:rsidRDefault="00B87DB4">
      <w:pPr>
        <w:pStyle w:val="Heading5"/>
        <w:numPr>
          <w:ilvl w:val="4"/>
          <w:numId w:val="7"/>
        </w:numPr>
        <w:ind w:left="3544" w:hanging="1276"/>
        <w:rPr>
          <w:rFonts w:ascii="Arial" w:eastAsia="Arial" w:hAnsi="Arial"/>
          <w:sz w:val="24"/>
          <w:szCs w:val="24"/>
        </w:rPr>
      </w:pPr>
      <w:r w:rsidRPr="00F13AF0">
        <w:rPr>
          <w:rFonts w:ascii="Arial" w:eastAsia="Arial" w:hAnsi="Arial"/>
          <w:sz w:val="24"/>
          <w:szCs w:val="24"/>
        </w:rPr>
        <w:t>in relation to any Transferring Supplier Employee identified in the Supplier’s Final Supplier Personnel List, to the extent that the proceeding, claim or demand by HMRC o</w:t>
      </w:r>
      <w:r w:rsidRPr="00F13AF0">
        <w:rPr>
          <w:rFonts w:ascii="Arial" w:eastAsia="Arial" w:hAnsi="Arial"/>
          <w:sz w:val="24"/>
          <w:szCs w:val="24"/>
        </w:rPr>
        <w:t>r other statutory authority relates to financial obligations arising after the Service Transfer Date; and</w:t>
      </w:r>
    </w:p>
    <w:p w:rsidR="007C0256" w:rsidRPr="00F13AF0" w:rsidRDefault="00B87DB4">
      <w:pPr>
        <w:pStyle w:val="Heading5"/>
        <w:numPr>
          <w:ilvl w:val="4"/>
          <w:numId w:val="7"/>
        </w:numPr>
        <w:ind w:left="3544" w:hanging="1276"/>
        <w:rPr>
          <w:rFonts w:ascii="Arial" w:eastAsia="Arial" w:hAnsi="Arial"/>
          <w:sz w:val="24"/>
          <w:szCs w:val="24"/>
        </w:rPr>
      </w:pPr>
      <w:r w:rsidRPr="00F13AF0">
        <w:rPr>
          <w:rFonts w:ascii="Arial" w:eastAsia="Arial" w:hAnsi="Arial"/>
          <w:sz w:val="24"/>
          <w:szCs w:val="24"/>
        </w:rPr>
        <w:t xml:space="preserve">in relation to any employee who is not a Transferring Supplier Employee identified in the Supplier’s Final Supplier Personnel List, and in respect of </w:t>
      </w:r>
      <w:r w:rsidRPr="00F13AF0">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sidRPr="00F13AF0">
        <w:rPr>
          <w:rFonts w:ascii="Arial" w:eastAsia="Arial" w:hAnsi="Arial"/>
          <w:sz w:val="24"/>
          <w:szCs w:val="24"/>
        </w:rPr>
        <w:t>and by HMRC or other statutory authority relates to financial obligations arising after the Service Transfer Date;</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 failure of the Replacement Supplier or Replacement Subcontractor to discharge or procure the discharge of all wages, salaries and all other</w:t>
      </w:r>
      <w:r w:rsidRPr="00F13AF0">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sidRPr="00F13AF0">
        <w:rPr>
          <w:rFonts w:ascii="Arial" w:eastAsia="Arial" w:hAnsi="Arial"/>
          <w:color w:val="000000"/>
          <w:sz w:val="24"/>
          <w:szCs w:val="24"/>
        </w:rPr>
        <w:t>nd</w:t>
      </w:r>
    </w:p>
    <w:p w:rsidR="007C0256" w:rsidRPr="00F13AF0" w:rsidRDefault="00B87DB4">
      <w:pPr>
        <w:numPr>
          <w:ilvl w:val="2"/>
          <w:numId w:val="9"/>
        </w:numPr>
        <w:pBdr>
          <w:top w:val="nil"/>
          <w:left w:val="nil"/>
          <w:bottom w:val="nil"/>
          <w:right w:val="nil"/>
          <w:between w:val="nil"/>
        </w:pBdr>
        <w:spacing w:before="120" w:after="120"/>
        <w:rPr>
          <w:rFonts w:ascii="Arial" w:eastAsia="Arial" w:hAnsi="Arial"/>
          <w:color w:val="000000"/>
          <w:sz w:val="24"/>
          <w:szCs w:val="24"/>
        </w:rPr>
      </w:pPr>
      <w:r w:rsidRPr="00F13AF0">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sidRPr="00F13AF0">
        <w:rPr>
          <w:rFonts w:ascii="Arial" w:eastAsia="Arial" w:hAnsi="Arial"/>
          <w:color w:val="000000"/>
          <w:sz w:val="24"/>
          <w:szCs w:val="24"/>
        </w:rPr>
        <w:t xml:space="preserve">ee relating to any act or omission of the Replacement </w:t>
      </w:r>
      <w:r w:rsidRPr="00F13AF0">
        <w:rPr>
          <w:rFonts w:ascii="Arial" w:eastAsia="Arial" w:hAnsi="Arial"/>
          <w:color w:val="000000"/>
          <w:sz w:val="24"/>
          <w:szCs w:val="24"/>
        </w:rPr>
        <w:lastRenderedPageBreak/>
        <w:t>Supplier or Replacement Subcontractor in relation to obligations under regulation 13 of the Employment Regulations.</w:t>
      </w:r>
    </w:p>
    <w:p w:rsidR="007C0256" w:rsidRPr="00F13AF0" w:rsidRDefault="007C0256">
      <w:pPr>
        <w:pBdr>
          <w:top w:val="nil"/>
          <w:left w:val="nil"/>
          <w:bottom w:val="nil"/>
          <w:right w:val="nil"/>
          <w:between w:val="nil"/>
        </w:pBdr>
        <w:spacing w:before="120" w:after="120"/>
        <w:ind w:left="2214" w:hanging="1080"/>
        <w:rPr>
          <w:rFonts w:ascii="Arial" w:eastAsia="Arial" w:hAnsi="Arial"/>
          <w:color w:val="000000"/>
          <w:sz w:val="24"/>
          <w:szCs w:val="24"/>
        </w:rPr>
      </w:pPr>
    </w:p>
    <w:p w:rsidR="007C0256" w:rsidRPr="00F13AF0" w:rsidRDefault="00B87DB4">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sidRPr="00F13AF0">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sidRPr="00F13AF0">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7C0256" w:rsidRPr="00F13AF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DB4" w:rsidRDefault="00B87DB4">
      <w:pPr>
        <w:spacing w:after="0"/>
      </w:pPr>
      <w:r>
        <w:separator/>
      </w:r>
    </w:p>
  </w:endnote>
  <w:endnote w:type="continuationSeparator" w:id="0">
    <w:p w:rsidR="00B87DB4" w:rsidRDefault="00B87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56" w:rsidRDefault="007C0256">
    <w:pPr>
      <w:tabs>
        <w:tab w:val="center" w:pos="4513"/>
        <w:tab w:val="right" w:pos="9026"/>
      </w:tabs>
      <w:spacing w:after="0"/>
      <w:rPr>
        <w:rFonts w:ascii="Arial" w:eastAsia="Arial" w:hAnsi="Arial"/>
        <w:color w:val="A6A6A6"/>
        <w:sz w:val="20"/>
        <w:szCs w:val="20"/>
      </w:rPr>
    </w:pPr>
  </w:p>
  <w:p w:rsidR="007C0256" w:rsidRDefault="00B87DB4">
    <w:pPr>
      <w:tabs>
        <w:tab w:val="center" w:pos="4513"/>
        <w:tab w:val="right" w:pos="9026"/>
      </w:tabs>
      <w:spacing w:after="0"/>
      <w:rPr>
        <w:rFonts w:ascii="Arial" w:eastAsia="Arial" w:hAnsi="Arial"/>
        <w:sz w:val="20"/>
        <w:szCs w:val="20"/>
      </w:rPr>
    </w:pPr>
    <w:r>
      <w:rPr>
        <w:rFonts w:ascii="Arial" w:eastAsia="Arial" w:hAnsi="Arial"/>
        <w:sz w:val="20"/>
        <w:szCs w:val="20"/>
      </w:rPr>
      <w:t>Framework Ref: RM6297 Print and Digital Communications</w:t>
    </w:r>
  </w:p>
  <w:p w:rsidR="007C0256" w:rsidRDefault="00B87DB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F13AF0">
      <w:rPr>
        <w:rFonts w:ascii="Arial" w:eastAsia="Arial" w:hAnsi="Arial"/>
        <w:color w:val="000000"/>
        <w:sz w:val="20"/>
        <w:szCs w:val="20"/>
      </w:rPr>
      <w:fldChar w:fldCharType="separate"/>
    </w:r>
    <w:r w:rsidR="00F13AF0">
      <w:rPr>
        <w:rFonts w:ascii="Arial" w:eastAsia="Arial" w:hAnsi="Arial"/>
        <w:noProof/>
        <w:color w:val="000000"/>
        <w:sz w:val="20"/>
        <w:szCs w:val="20"/>
      </w:rPr>
      <w:t>1</w:t>
    </w:r>
    <w:r>
      <w:rPr>
        <w:rFonts w:ascii="Arial" w:eastAsia="Arial" w:hAnsi="Arial"/>
        <w:color w:val="000000"/>
        <w:sz w:val="20"/>
        <w:szCs w:val="20"/>
      </w:rPr>
      <w:fldChar w:fldCharType="end"/>
    </w:r>
  </w:p>
  <w:p w:rsidR="007C0256" w:rsidRDefault="00B87DB4">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56" w:rsidRDefault="007C0256">
    <w:pPr>
      <w:tabs>
        <w:tab w:val="center" w:pos="4513"/>
        <w:tab w:val="right" w:pos="9026"/>
      </w:tabs>
      <w:spacing w:after="0"/>
      <w:rPr>
        <w:rFonts w:ascii="Arial" w:eastAsia="Arial" w:hAnsi="Arial"/>
        <w:color w:val="A6A6A6"/>
        <w:sz w:val="20"/>
        <w:szCs w:val="20"/>
      </w:rPr>
    </w:pPr>
  </w:p>
  <w:p w:rsidR="007C0256" w:rsidRDefault="00B87DB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rsidR="007C0256" w:rsidRDefault="00B87DB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7C0256" w:rsidRDefault="00B87DB4">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DB4" w:rsidRDefault="00B87DB4">
      <w:pPr>
        <w:spacing w:after="0"/>
      </w:pPr>
      <w:r>
        <w:separator/>
      </w:r>
    </w:p>
  </w:footnote>
  <w:footnote w:type="continuationSeparator" w:id="0">
    <w:p w:rsidR="00B87DB4" w:rsidRDefault="00B87DB4">
      <w:pPr>
        <w:spacing w:after="0"/>
      </w:pPr>
      <w:r>
        <w:continuationSeparator/>
      </w:r>
    </w:p>
  </w:footnote>
  <w:footnote w:id="1">
    <w:p w:rsidR="007C0256" w:rsidRDefault="00B87DB4">
      <w:pPr>
        <w:pBdr>
          <w:top w:val="nil"/>
          <w:left w:val="nil"/>
          <w:bottom w:val="nil"/>
          <w:right w:val="nil"/>
          <w:between w:val="nil"/>
        </w:pBdr>
        <w:rPr>
          <w:rFonts w:eastAsia="Calibri" w:cs="Calibri"/>
          <w:color w:val="000000"/>
          <w:sz w:val="20"/>
          <w:szCs w:val="20"/>
        </w:rPr>
      </w:pPr>
      <w:r w:rsidRPr="00F13AF0">
        <w:rPr>
          <w:rStyle w:val="FootnoteReference"/>
        </w:rPr>
        <w:footnoteRef/>
      </w:r>
      <w:r w:rsidRPr="00F13AF0">
        <w:rPr>
          <w:rFonts w:eastAsia="Calibri" w:cs="Calibri"/>
          <w:color w:val="000000"/>
          <w:sz w:val="20"/>
          <w:szCs w:val="20"/>
        </w:rPr>
        <w:t xml:space="preserve"> We recommend that you seek specific legal advice on this clause.</w:t>
      </w:r>
      <w:r>
        <w:rPr>
          <w:rFonts w:eastAsia="Calibri" w:cs="Calibri"/>
          <w:color w:val="000000"/>
          <w:sz w:val="20"/>
          <w:szCs w:val="20"/>
        </w:rPr>
        <w:t xml:space="preserve"> </w:t>
      </w:r>
    </w:p>
  </w:footnote>
  <w:footnote w:id="2">
    <w:p w:rsidR="007C0256" w:rsidRDefault="00B87DB4">
      <w:pPr>
        <w:pBdr>
          <w:top w:val="nil"/>
          <w:left w:val="nil"/>
          <w:bottom w:val="nil"/>
          <w:right w:val="nil"/>
          <w:between w:val="nil"/>
        </w:pBdr>
        <w:rPr>
          <w:rFonts w:eastAsia="Calibri" w:cs="Calibri"/>
          <w:color w:val="000000"/>
          <w:sz w:val="20"/>
          <w:szCs w:val="20"/>
        </w:rPr>
      </w:pPr>
      <w:r w:rsidRPr="00F13AF0">
        <w:rPr>
          <w:rStyle w:val="FootnoteReference"/>
        </w:rPr>
        <w:footnoteRef/>
      </w:r>
      <w:r w:rsidRPr="00F13AF0">
        <w:rPr>
          <w:rFonts w:eastAsia="Calibri" w:cs="Calibri"/>
          <w:color w:val="000000"/>
          <w:sz w:val="20"/>
          <w:szCs w:val="20"/>
        </w:rPr>
        <w:t>We recommend that you seek specific legal advice on this clause.</w:t>
      </w:r>
    </w:p>
  </w:footnote>
  <w:footnote w:id="3">
    <w:p w:rsidR="007C0256" w:rsidRDefault="00B87DB4">
      <w:pPr>
        <w:pBdr>
          <w:top w:val="nil"/>
          <w:left w:val="nil"/>
          <w:bottom w:val="nil"/>
          <w:right w:val="nil"/>
          <w:between w:val="nil"/>
        </w:pBdr>
        <w:rPr>
          <w:rFonts w:eastAsia="Calibri" w:cs="Calibri"/>
          <w:color w:val="000000"/>
          <w:sz w:val="20"/>
          <w:szCs w:val="20"/>
        </w:rPr>
      </w:pPr>
      <w:r w:rsidRPr="00F13AF0">
        <w:rPr>
          <w:rStyle w:val="FootnoteReference"/>
        </w:rPr>
        <w:footnoteRef/>
      </w:r>
      <w:r w:rsidRPr="00F13AF0">
        <w:rPr>
          <w:rFonts w:eastAsia="Calibri" w:cs="Calibri"/>
          <w:color w:val="000000"/>
          <w:sz w:val="20"/>
          <w:szCs w:val="20"/>
        </w:rPr>
        <w:t xml:space="preserve"> We recommend that you seek specific legal advice on this clause.</w:t>
      </w:r>
    </w:p>
  </w:footnote>
  <w:footnote w:id="4">
    <w:p w:rsidR="007C0256" w:rsidRDefault="00B87DB4">
      <w:pPr>
        <w:pBdr>
          <w:top w:val="nil"/>
          <w:left w:val="nil"/>
          <w:bottom w:val="nil"/>
          <w:right w:val="nil"/>
          <w:between w:val="nil"/>
        </w:pBdr>
        <w:rPr>
          <w:rFonts w:eastAsia="Calibri" w:cs="Calibri"/>
          <w:color w:val="000000"/>
          <w:sz w:val="20"/>
          <w:szCs w:val="20"/>
        </w:rPr>
      </w:pPr>
      <w:r w:rsidRPr="00F13AF0">
        <w:rPr>
          <w:rStyle w:val="FootnoteReference"/>
        </w:rPr>
        <w:footnoteRef/>
      </w:r>
      <w:r w:rsidRPr="00F13AF0">
        <w:rPr>
          <w:rFonts w:eastAsia="Calibri" w:cs="Calibri"/>
          <w:color w:val="000000"/>
          <w:sz w:val="20"/>
          <w:szCs w:val="20"/>
        </w:rPr>
        <w:t xml:space="preserve"> We recommend that you seek specific legal advice on this clause.</w:t>
      </w:r>
    </w:p>
  </w:footnote>
  <w:footnote w:id="5">
    <w:p w:rsidR="007C0256" w:rsidRDefault="00B87DB4">
      <w:pPr>
        <w:pBdr>
          <w:top w:val="nil"/>
          <w:left w:val="nil"/>
          <w:bottom w:val="nil"/>
          <w:right w:val="nil"/>
          <w:between w:val="nil"/>
        </w:pBdr>
        <w:rPr>
          <w:rFonts w:eastAsia="Calibri" w:cs="Calibri"/>
          <w:color w:val="000000"/>
          <w:sz w:val="20"/>
          <w:szCs w:val="20"/>
        </w:rPr>
      </w:pPr>
      <w:r w:rsidRPr="00F13AF0">
        <w:rPr>
          <w:rStyle w:val="FootnoteReference"/>
        </w:rPr>
        <w:footnoteRef/>
      </w:r>
      <w:r w:rsidRPr="00F13AF0">
        <w:rPr>
          <w:rFonts w:eastAsia="Calibri" w:cs="Calibri"/>
          <w:color w:val="000000"/>
          <w:sz w:val="20"/>
          <w:szCs w:val="20"/>
        </w:rPr>
        <w:t xml:space="preserve"> We recommend that you seek specific legal advice on this clause.</w:t>
      </w:r>
    </w:p>
  </w:footnote>
  <w:footnote w:id="6">
    <w:p w:rsidR="007C0256" w:rsidRDefault="00B87DB4">
      <w:pPr>
        <w:pBdr>
          <w:top w:val="nil"/>
          <w:left w:val="nil"/>
          <w:bottom w:val="nil"/>
          <w:right w:val="nil"/>
          <w:between w:val="nil"/>
        </w:pBdr>
        <w:rPr>
          <w:rFonts w:eastAsia="Calibri" w:cs="Calibri"/>
          <w:color w:val="000000"/>
          <w:sz w:val="20"/>
          <w:szCs w:val="20"/>
        </w:rPr>
      </w:pPr>
      <w:r w:rsidRPr="00F13AF0">
        <w:rPr>
          <w:rStyle w:val="FootnoteReference"/>
        </w:rPr>
        <w:footnoteRef/>
      </w:r>
      <w:r w:rsidRPr="00F13AF0">
        <w:rPr>
          <w:rFonts w:eastAsia="Calibri" w:cs="Calibri"/>
          <w:color w:val="000000"/>
          <w:sz w:val="20"/>
          <w:szCs w:val="20"/>
        </w:rPr>
        <w:t xml:space="preserve"> We recommend that you seek specific legal advice on this definition.</w:t>
      </w:r>
    </w:p>
  </w:footnote>
  <w:footnote w:id="7">
    <w:p w:rsidR="007C0256" w:rsidRDefault="00B87DB4">
      <w:pPr>
        <w:pBdr>
          <w:top w:val="nil"/>
          <w:left w:val="nil"/>
          <w:bottom w:val="nil"/>
          <w:right w:val="nil"/>
          <w:between w:val="nil"/>
        </w:pBdr>
        <w:rPr>
          <w:rFonts w:eastAsia="Calibri" w:cs="Calibri"/>
          <w:color w:val="000000"/>
          <w:sz w:val="20"/>
          <w:szCs w:val="20"/>
        </w:rPr>
      </w:pPr>
      <w:r w:rsidRPr="00F13AF0">
        <w:rPr>
          <w:rStyle w:val="FootnoteReference"/>
        </w:rPr>
        <w:footnoteRef/>
      </w:r>
      <w:r w:rsidRPr="00F13AF0">
        <w:rPr>
          <w:rFonts w:eastAsia="Calibri" w:cs="Calibri"/>
          <w:color w:val="000000"/>
          <w:sz w:val="20"/>
          <w:szCs w:val="20"/>
        </w:rPr>
        <w:t xml:space="preserve"> We recommend that you seek specific legal advice on this clause.</w:t>
      </w:r>
    </w:p>
  </w:footnote>
  <w:footnote w:id="8">
    <w:p w:rsidR="007C0256" w:rsidRDefault="00B87DB4">
      <w:pPr>
        <w:pBdr>
          <w:top w:val="nil"/>
          <w:left w:val="nil"/>
          <w:bottom w:val="nil"/>
          <w:right w:val="nil"/>
          <w:between w:val="nil"/>
        </w:pBdr>
        <w:rPr>
          <w:rFonts w:eastAsia="Calibri" w:cs="Calibri"/>
          <w:color w:val="000000"/>
          <w:sz w:val="20"/>
          <w:szCs w:val="20"/>
        </w:rPr>
      </w:pPr>
      <w:r w:rsidRPr="00F13AF0">
        <w:rPr>
          <w:rStyle w:val="FootnoteReference"/>
        </w:rPr>
        <w:footnoteRef/>
      </w:r>
      <w:r w:rsidRPr="00F13AF0">
        <w:rPr>
          <w:rFonts w:eastAsia="Calibri" w:cs="Calibri"/>
          <w:color w:val="000000"/>
          <w:sz w:val="20"/>
          <w:szCs w:val="20"/>
        </w:rPr>
        <w:t xml:space="preserve"> We recommend that you seek specific legal advice on this clause.</w:t>
      </w:r>
    </w:p>
  </w:footnote>
  <w:footnote w:id="9">
    <w:p w:rsidR="007C0256" w:rsidRDefault="00B87DB4">
      <w:pPr>
        <w:pBdr>
          <w:top w:val="nil"/>
          <w:left w:val="nil"/>
          <w:bottom w:val="nil"/>
          <w:right w:val="nil"/>
          <w:between w:val="nil"/>
        </w:pBdr>
        <w:rPr>
          <w:rFonts w:eastAsia="Calibri" w:cs="Calibri"/>
          <w:color w:val="000000"/>
          <w:sz w:val="20"/>
          <w:szCs w:val="20"/>
        </w:rPr>
      </w:pPr>
      <w:r w:rsidRPr="00F13AF0">
        <w:rPr>
          <w:rStyle w:val="FootnoteReference"/>
        </w:rPr>
        <w:footnoteRef/>
      </w:r>
      <w:r w:rsidRPr="00F13AF0">
        <w:rPr>
          <w:rFonts w:eastAsia="Calibri" w:cs="Calibri"/>
          <w:color w:val="000000"/>
          <w:sz w:val="20"/>
          <w:szCs w:val="20"/>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56" w:rsidRDefault="00B87DB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7C0256" w:rsidRDefault="00B87DB4">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7C0256" w:rsidRDefault="00B87DB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r>
      <w:rPr>
        <w:rFonts w:ascii="Arial" w:eastAsia="Arial" w:hAnsi="Arial"/>
        <w:color w:val="000000"/>
        <w:sz w:val="20"/>
        <w:szCs w:val="20"/>
      </w:rPr>
      <w:t xml:space="preserve"> </w:t>
    </w:r>
  </w:p>
  <w:p w:rsidR="007C0256" w:rsidRDefault="007C0256">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256" w:rsidRDefault="007C0256">
    <w:pPr>
      <w:pBdr>
        <w:top w:val="nil"/>
        <w:left w:val="nil"/>
        <w:bottom w:val="nil"/>
        <w:right w:val="nil"/>
        <w:between w:val="nil"/>
      </w:pBdr>
      <w:tabs>
        <w:tab w:val="center" w:pos="4513"/>
        <w:tab w:val="right" w:pos="9026"/>
      </w:tabs>
      <w:spacing w:after="0"/>
      <w:rPr>
        <w:rFonts w:eastAsia="Calibri" w:cs="Calibri"/>
        <w:color w:val="000000"/>
      </w:rPr>
    </w:pPr>
  </w:p>
  <w:p w:rsidR="007C0256" w:rsidRDefault="007C0256">
    <w:pPr>
      <w:pBdr>
        <w:top w:val="nil"/>
        <w:left w:val="nil"/>
        <w:bottom w:val="nil"/>
        <w:right w:val="nil"/>
        <w:between w:val="nil"/>
      </w:pBdr>
      <w:tabs>
        <w:tab w:val="center" w:pos="4513"/>
        <w:tab w:val="right" w:pos="9026"/>
      </w:tabs>
      <w:spacing w:after="0"/>
      <w:rPr>
        <w:rFonts w:eastAsia="Calibri" w:cs="Calibri"/>
        <w:color w:val="000000"/>
      </w:rPr>
    </w:pPr>
  </w:p>
  <w:p w:rsidR="007C0256" w:rsidRDefault="007C0256">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44456"/>
    <w:multiLevelType w:val="multilevel"/>
    <w:tmpl w:val="ADCABD4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34501DF"/>
    <w:multiLevelType w:val="multilevel"/>
    <w:tmpl w:val="021C4520"/>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3890FD5"/>
    <w:multiLevelType w:val="multilevel"/>
    <w:tmpl w:val="22B4C178"/>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1D4B6B41"/>
    <w:multiLevelType w:val="multilevel"/>
    <w:tmpl w:val="D0E2E5E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23BE775B"/>
    <w:multiLevelType w:val="multilevel"/>
    <w:tmpl w:val="78FAA0D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695627F"/>
    <w:multiLevelType w:val="multilevel"/>
    <w:tmpl w:val="01B85B72"/>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31D628A6"/>
    <w:multiLevelType w:val="multilevel"/>
    <w:tmpl w:val="4296EA0A"/>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C0C63F2"/>
    <w:multiLevelType w:val="multilevel"/>
    <w:tmpl w:val="ED64A388"/>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4388753E"/>
    <w:multiLevelType w:val="multilevel"/>
    <w:tmpl w:val="387EAE5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50B61E3D"/>
    <w:multiLevelType w:val="multilevel"/>
    <w:tmpl w:val="9646614A"/>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52D4639E"/>
    <w:multiLevelType w:val="multilevel"/>
    <w:tmpl w:val="CC72F004"/>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5660771F"/>
    <w:multiLevelType w:val="multilevel"/>
    <w:tmpl w:val="845E7ED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2" w15:restartNumberingAfterBreak="0">
    <w:nsid w:val="5B6E57AA"/>
    <w:multiLevelType w:val="multilevel"/>
    <w:tmpl w:val="DEE6A502"/>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E507601"/>
    <w:multiLevelType w:val="multilevel"/>
    <w:tmpl w:val="954C2452"/>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603D5A8A"/>
    <w:multiLevelType w:val="multilevel"/>
    <w:tmpl w:val="63842DDE"/>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0CC4109"/>
    <w:multiLevelType w:val="multilevel"/>
    <w:tmpl w:val="8402C0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879345E"/>
    <w:multiLevelType w:val="multilevel"/>
    <w:tmpl w:val="4D3428FE"/>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F053597"/>
    <w:multiLevelType w:val="multilevel"/>
    <w:tmpl w:val="416AFCE4"/>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8" w15:restartNumberingAfterBreak="0">
    <w:nsid w:val="7FD85E04"/>
    <w:multiLevelType w:val="multilevel"/>
    <w:tmpl w:val="16DC7A82"/>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2"/>
  </w:num>
  <w:num w:numId="2">
    <w:abstractNumId w:val="14"/>
  </w:num>
  <w:num w:numId="3">
    <w:abstractNumId w:val="1"/>
  </w:num>
  <w:num w:numId="4">
    <w:abstractNumId w:val="5"/>
  </w:num>
  <w:num w:numId="5">
    <w:abstractNumId w:val="12"/>
  </w:num>
  <w:num w:numId="6">
    <w:abstractNumId w:val="11"/>
  </w:num>
  <w:num w:numId="7">
    <w:abstractNumId w:val="7"/>
  </w:num>
  <w:num w:numId="8">
    <w:abstractNumId w:val="18"/>
  </w:num>
  <w:num w:numId="9">
    <w:abstractNumId w:val="6"/>
  </w:num>
  <w:num w:numId="10">
    <w:abstractNumId w:val="0"/>
  </w:num>
  <w:num w:numId="11">
    <w:abstractNumId w:val="8"/>
  </w:num>
  <w:num w:numId="12">
    <w:abstractNumId w:val="9"/>
  </w:num>
  <w:num w:numId="13">
    <w:abstractNumId w:val="15"/>
  </w:num>
  <w:num w:numId="14">
    <w:abstractNumId w:val="13"/>
  </w:num>
  <w:num w:numId="15">
    <w:abstractNumId w:val="16"/>
  </w:num>
  <w:num w:numId="16">
    <w:abstractNumId w:val="17"/>
  </w:num>
  <w:num w:numId="17">
    <w:abstractNumId w:val="3"/>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256"/>
    <w:rsid w:val="007C0256"/>
    <w:rsid w:val="00B87DB4"/>
    <w:rsid w:val="00F13A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242B0"/>
  <w15:docId w15:val="{773A216E-6F8E-421C-96DD-D321F1BEE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sjbaFTxI0sXzcHQVm+OsIH0g3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MDdoejV4Ui1FWldqSGVJTDE3U0RNSmtLX3lsQ2dIR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61</Pages>
  <Words>19104</Words>
  <Characters>108899</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Damian Johnston</cp:lastModifiedBy>
  <cp:revision>2</cp:revision>
  <dcterms:created xsi:type="dcterms:W3CDTF">2020-09-21T08:37:00Z</dcterms:created>
  <dcterms:modified xsi:type="dcterms:W3CDTF">2025-02-14T15:20:00Z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